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bookmarkStart w:id="0" w:name="a000"/>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w:t>
      </w:r>
      <w:r>
        <w:rPr>
          <w:rFonts w:hint="eastAsia" w:ascii="宋体" w:hAnsi="宋体"/>
          <w:b/>
          <w:bCs/>
          <w:sz w:val="52"/>
          <w:szCs w:val="52"/>
          <w:lang w:val="en-US" w:eastAsia="zh-CN"/>
        </w:rPr>
        <w:t>4</w:t>
      </w:r>
      <w:r>
        <w:rPr>
          <w:rFonts w:hint="eastAsia" w:ascii="宋体" w:hAnsi="宋体"/>
          <w:b/>
          <w:bCs/>
          <w:sz w:val="52"/>
          <w:szCs w:val="52"/>
        </w:rPr>
        <w:t>年度赤峰市市场监督管理局（本级）</w:t>
      </w:r>
    </w:p>
    <w:p>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9" w:firstLineChars="700"/>
        <w:jc w:val="lef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批复时间：</w:t>
      </w:r>
      <w:r>
        <w:rPr>
          <w:rFonts w:hint="eastAsia" w:ascii="仿宋_GB2312" w:hAnsi="仿宋_GB2312" w:eastAsia="仿宋_GB2312" w:cs="仿宋_GB2312"/>
          <w:b/>
          <w:sz w:val="32"/>
          <w:szCs w:val="32"/>
          <w:u w:val="single"/>
          <w:lang w:val="en-US" w:eastAsia="zh-CN"/>
        </w:rPr>
        <w:t xml:space="preserve"> 2025 年  7  月  14  日</w:t>
      </w:r>
    </w:p>
    <w:p>
      <w:pPr>
        <w:spacing w:line="360" w:lineRule="auto"/>
        <w:ind w:firstLine="2249" w:firstLineChars="700"/>
        <w:jc w:val="left"/>
        <w:rPr>
          <w:rFonts w:hint="eastAsia" w:ascii="仿宋_GB2312" w:hAnsi="仿宋_GB2312" w:eastAsia="仿宋_GB2312" w:cs="仿宋_GB2312"/>
          <w:b/>
          <w:sz w:val="32"/>
          <w:szCs w:val="32"/>
          <w:lang w:val="en-US" w:eastAsia="zh-CN"/>
        </w:rPr>
        <w:sectPr>
          <w:footerReference r:id="rId3" w:type="default"/>
          <w:pgSz w:w="11906" w:h="16838"/>
          <w:pgMar w:top="1440" w:right="1083" w:bottom="1440" w:left="1083" w:header="0" w:footer="720" w:gutter="0"/>
          <w:cols w:space="425" w:num="1"/>
          <w:docGrid w:type="lines" w:linePitch="312" w:charSpace="0"/>
        </w:sectPr>
      </w:pPr>
      <w:r>
        <w:rPr>
          <w:rFonts w:hint="eastAsia" w:ascii="仿宋_GB2312" w:hAnsi="仿宋_GB2312" w:eastAsia="仿宋_GB2312" w:cs="仿宋_GB2312"/>
          <w:b/>
          <w:sz w:val="32"/>
          <w:szCs w:val="32"/>
          <w:lang w:val="en-US" w:eastAsia="zh-CN"/>
        </w:rPr>
        <w:t>公开时间：</w:t>
      </w:r>
      <w:r>
        <w:rPr>
          <w:rFonts w:hint="eastAsia" w:ascii="仿宋_GB2312" w:hAnsi="仿宋_GB2312" w:eastAsia="仿宋_GB2312" w:cs="仿宋_GB2312"/>
          <w:b/>
          <w:sz w:val="32"/>
          <w:szCs w:val="32"/>
          <w:u w:val="single"/>
          <w:lang w:val="en-US" w:eastAsia="zh-CN"/>
        </w:rPr>
        <w:t xml:space="preserve"> 2024 年  7  月  18  日</w:t>
      </w:r>
    </w:p>
    <w:p>
      <w:pPr>
        <w:keepNext w:val="0"/>
        <w:keepLines w:val="0"/>
        <w:pageBreakBefore w:val="0"/>
        <w:widowControl/>
        <w:kinsoku/>
        <w:wordWrap/>
        <w:overflowPunct/>
        <w:topLinePunct w:val="0"/>
        <w:autoSpaceDE/>
        <w:autoSpaceDN/>
        <w:bidi w:val="0"/>
        <w:adjustRightInd/>
        <w:snapToGrid/>
        <w:spacing w:after="240" w:line="560" w:lineRule="exact"/>
        <w:jc w:val="center"/>
        <w:textAlignment w:val="auto"/>
        <w:rPr>
          <w:rFonts w:ascii="fang_song_gb2312" w:hAnsi="fang_song_gb2312" w:eastAsia="fang_song_gb2312" w:cs="fang_song_gb2312"/>
          <w:b/>
          <w:bCs/>
          <w:kern w:val="0"/>
          <w:sz w:val="54"/>
          <w:szCs w:val="54"/>
        </w:rPr>
      </w:pPr>
      <w:r>
        <w:rPr>
          <w:rFonts w:ascii="fang_song_gb2312" w:hAnsi="fang_song_gb2312" w:eastAsia="fang_song_gb2312" w:cs="fang_song_gb2312"/>
          <w:b/>
          <w:bCs/>
          <w:kern w:val="0"/>
          <w:sz w:val="54"/>
          <w:szCs w:val="54"/>
        </w:rPr>
        <w:t>目 录</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Times New Roman" w:hAnsi="Times New Roman" w:eastAsia="Times New Roman" w:cs="Times New Roman"/>
          <w:kern w:val="0"/>
          <w:sz w:val="24"/>
        </w:rPr>
      </w:pPr>
      <w:r>
        <w:rPr>
          <w:rFonts w:ascii="黑体" w:hAnsi="黑体" w:eastAsia="黑体" w:cs="黑体"/>
          <w:kern w:val="0"/>
          <w:sz w:val="32"/>
          <w:szCs w:val="32"/>
        </w:rPr>
        <w:t>第一部分 单位概况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二、单位机构设置及决算单位构成情况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rPr>
        <w:t>三、2024年度单位主要工作完成情况</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黑体" w:hAnsi="黑体" w:eastAsia="黑体" w:cs="黑体"/>
          <w:kern w:val="0"/>
          <w:sz w:val="32"/>
          <w:szCs w:val="32"/>
        </w:rPr>
      </w:pPr>
      <w:r>
        <w:rPr>
          <w:rFonts w:ascii="黑体" w:hAnsi="黑体" w:eastAsia="黑体" w:cs="黑体"/>
          <w:kern w:val="0"/>
          <w:sz w:val="32"/>
          <w:szCs w:val="32"/>
        </w:rPr>
        <w:t>第二部分 单位决算情况说明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黑体" w:hAnsi="黑体" w:eastAsia="黑体" w:cs="黑体"/>
          <w:kern w:val="0"/>
          <w:sz w:val="32"/>
          <w:szCs w:val="32"/>
        </w:rPr>
      </w:pPr>
      <w:r>
        <w:rPr>
          <w:rFonts w:ascii="黑体" w:hAnsi="黑体" w:eastAsia="黑体" w:cs="黑体"/>
          <w:kern w:val="0"/>
          <w:sz w:val="32"/>
          <w:szCs w:val="32"/>
        </w:rPr>
        <w:t>第三部分 名词解释</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黑体" w:hAnsi="黑体" w:eastAsia="黑体" w:cs="黑体"/>
          <w:kern w:val="0"/>
          <w:sz w:val="32"/>
          <w:szCs w:val="32"/>
        </w:rPr>
      </w:pPr>
      <w:r>
        <w:rPr>
          <w:rFonts w:ascii="黑体" w:hAnsi="黑体" w:eastAsia="黑体" w:cs="黑体"/>
          <w:kern w:val="0"/>
          <w:sz w:val="32"/>
          <w:szCs w:val="32"/>
        </w:rPr>
        <w:t>第四部分 决算公开联系方式及信息反馈渠道</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黑体" w:hAnsi="黑体" w:eastAsia="黑体" w:cs="黑体"/>
          <w:kern w:val="0"/>
          <w:sz w:val="32"/>
          <w:szCs w:val="32"/>
        </w:rPr>
      </w:pPr>
      <w:r>
        <w:rPr>
          <w:rFonts w:ascii="黑体" w:hAnsi="黑体" w:eastAsia="黑体" w:cs="黑体"/>
          <w:kern w:val="0"/>
          <w:sz w:val="32"/>
          <w:szCs w:val="32"/>
        </w:rPr>
        <w:t>第五部分 单位决算表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十一、机关运行经费支出、国有资产占用情况及政府采购支出信息表</w:t>
      </w:r>
    </w:p>
    <w:p>
      <w:pPr>
        <w:keepNext w:val="0"/>
        <w:keepLines w:val="0"/>
        <w:pageBreakBefore w:val="0"/>
        <w:widowControl/>
        <w:kinsoku/>
        <w:wordWrap/>
        <w:overflowPunct/>
        <w:topLinePunct w:val="0"/>
        <w:autoSpaceDE/>
        <w:autoSpaceDN/>
        <w:bidi w:val="0"/>
        <w:adjustRightInd/>
        <w:spacing w:before="240" w:after="240" w:line="560" w:lineRule="exact"/>
        <w:jc w:val="center"/>
        <w:textAlignment w:val="auto"/>
        <w:rPr>
          <w:rFonts w:hint="eastAsia" w:ascii="宋体" w:hAnsi="宋体" w:eastAsia="宋体" w:cs="宋体"/>
          <w:kern w:val="0"/>
          <w:sz w:val="24"/>
        </w:rPr>
      </w:pP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宋体" w:hAnsi="宋体" w:eastAsia="宋体" w:cs="宋体"/>
          <w:b/>
          <w:bCs/>
          <w:color w:val="000000"/>
          <w:kern w:val="0"/>
          <w:sz w:val="36"/>
          <w:szCs w:val="36"/>
        </w:rPr>
        <w:t>第一部分 单位概况</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黑体" w:hAnsi="黑体" w:eastAsia="黑体" w:cs="黑体"/>
          <w:b/>
          <w:bCs/>
          <w:kern w:val="0"/>
          <w:sz w:val="32"/>
          <w:szCs w:val="32"/>
        </w:rPr>
      </w:pPr>
      <w:r>
        <w:rPr>
          <w:rFonts w:ascii="黑体" w:hAnsi="黑体" w:eastAsia="黑体" w:cs="黑体"/>
          <w:b/>
          <w:bCs/>
          <w:kern w:val="0"/>
          <w:sz w:val="32"/>
          <w:szCs w:val="32"/>
        </w:rPr>
        <w:t>一、主要职能、职责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（一）负责市场综合监督管理。组织实施质量强市战略、食品药品安全战略和标准化战略。拟定并组织实施有关工作规划，规范和维护市场秩序，营造诚实守信、公平竞争的市场环境。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市场主体统一登记注册。指导各类企业、农牧民专业合作社和从事经营活动的单位、个体工商户以及授权范围内外商投资企业等市场主体的登记注册工作。建立市场主体信息公示和共享机制。加强信用监管，推动市场主体信用体系建设。依职权负责市场监管领域其他相关行政许可和非行政许可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组织和指导市场监管综合执法工作。指导全市市场监管综合执法队伍整合和建设，推动实行统一的市场监管。组织查处市场监管领域违法行为，协调查处督办跨区域的违法案件。规范市场监管行政执法行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反不正当竞争执法。统筹推进竞争政策实施，指导实施公平竞争审查制度。依委托对经营者集中行为进行反垄断审查，负责垄断协议、滥用市场支配地位和滥用行政权力排除、限制竞争及价格垄断等反垄断执法调查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监督管理市场秩序。依法监督管理市场交易、网络商品交易及有关服务行为。组织指导查处价格收费违法违规、不正当竞争、违法直销、传销、侵犯商标专利知识产权和制售假冒伪劣行为。指导广告业发展，监督管理广告活动。指导查处无照和相关无证生产经营行为。指导赤峰市消费者协会开展消费维权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宏观质量管理。拟订并实施赤峰市质量发展制度措施。实施质量强市战略，推进品牌发展战略。统筹质量基础设施建设与应用，会同有关部门组织实施重大工程设备质量监理制度。组织重大质量事故调查，建立并组织实施缺陷产品召回制度。监督管理产品防伪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产品质量安全监督管理。管理产品质量安全风险监控、监督抽查和不合格产品后处理工作。监督管理产品质量仲裁检验、鉴定工作。统一编制全市产品质量监督抽查计划并组织实施。负责组织实施质量分级制度、质量安全追溯制度。负责重要工业产品和纤维质量监督管理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（八）负责特种设备安全监督管理。综合管理特种设备安全监察、监督工作。监督检查高耗能特种设备节能标准和锅炉环境保护标准的执行情况。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食品安全监督管理。建立覆盖食品生产、流通、消费全过程的监督检查制度和隐患排查治理机制并组织实施。推动建立食品生产经营者落实主体责任的机制，健全食品安全追溯体系。组织开展食品安全监督抽检、核查处置和风险预警、风险交流工作，落实风险监测相关工作任务。组织实施食盐、酒类质量安全监管和保健食品、特殊医学用途配方食品及婴幼儿配方乳品等特殊食品的备案、监管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药品、医疗器械和化妆品监督管理。组织和监督实施药品、医疗器械和化妆品质量管理规范。负责拟定药品、医疗器械和化妆品监督检查制度并组织实施。负责监督实施药品和医疗器械标准、分类管理制度、国家基本药物制度。依法实施中药、民族药炮制规范和品种保护制度。组织开展药品、化妆品不良反应和医疗器械不良事件的监测、评价和处置工作。依法承担药品、化妆品和医疗器械安全应急管理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食品安全监督管理综合协调。推动健全部门各负其责、旗县区政府负总责的协调联动机制。组织拟订食品安全重大政策并组织实施。负责食品安全应急体系建设，组织指导重大食品安全事件应急处置和调查处理工作。建立健全食品安全重要信息直报制度。组织开展食品安全宣传、培训教育。</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（十二）负责统一管理计量工作。落实国家计量制度，推行法定计量单位，管理计量器具及量值传递和比对工作。规范、监督商品量和市场计量行为。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统一管理和指导全市标准化工作。依法承担地方标准的立项、编号、发布工作。组织开展国家标准、行业标准、地方标准的实施信息反馈和评估工作。依法协调指导和监督团体标准、企业标准制定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（十四）负责统一管理检验检测工作。推进检验检测机构改革，规范检验检测市场，完善检验检测体系，指导协调检验检测行业发展。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（十五）负责统一管理、监督和综合协调全市认证认可工作。按照规定权限承担相关认证认可和合格评定监督管理等工作。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（十六）负责全市商标、专利、原产地地理标志等知识产权的创造、运用、保护、管理和服务工作。拟订和组织实施赤峰市知识产权战略，起草有关知识产权发展的政策措施，推进知识产权强市建设。</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拟订知识产权保护体系建设方案并组织实施，推进知识产权保护和信息公共服务体系建设。开展知识产权试点示范工作。组织实施重大知识产权转化项目，促进知识产权转移转化。指导商标专利执法、知识产权争议处理、维权援助和纠纷调处，依法查处知识产权违法行为。组织指导知识产权预警和涉外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（十八）指导各旗县区市场监督管理部门开展小微企业、个体工商户、专业市场的党建工作。指导各地非公有制经济组织团建工作。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（十九）负责市场监督管理科技和信息化建设、新闻宣传等工作。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（二十）完成市委、市政府交办的其他任务。</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hint="eastAsia" w:ascii="黑体" w:hAnsi="黑体" w:eastAsia="黑体" w:cs="黑体"/>
          <w:kern w:val="0"/>
          <w:sz w:val="32"/>
          <w:szCs w:val="32"/>
        </w:rPr>
      </w:pPr>
      <w:r>
        <w:rPr>
          <w:rFonts w:hint="eastAsia" w:ascii="黑体" w:hAnsi="黑体" w:eastAsia="黑体" w:cs="黑体"/>
          <w:b/>
          <w:bCs/>
          <w:kern w:val="0"/>
          <w:sz w:val="32"/>
          <w:szCs w:val="32"/>
        </w:rPr>
        <w:t xml:space="preserve"> 二、单位机构设置及决算单位构成情况</w:t>
      </w:r>
    </w:p>
    <w:p>
      <w:pPr>
        <w:keepNext w:val="0"/>
        <w:keepLines w:val="0"/>
        <w:pageBreakBefore w:val="0"/>
        <w:widowControl w:val="0"/>
        <w:kinsoku/>
        <w:wordWrap/>
        <w:overflowPunct/>
        <w:topLinePunct w:val="0"/>
        <w:autoSpaceDE/>
        <w:autoSpaceDN/>
        <w:bidi w:val="0"/>
        <w:adjustRightInd/>
        <w:snapToGrid/>
        <w:spacing w:before="100" w:beforeLines="0" w:after="10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1.根据单位职责分工，本单位内设机构包括</w:t>
      </w:r>
      <w:r>
        <w:rPr>
          <w:rFonts w:hint="eastAsia" w:ascii="仿宋_GB2312" w:hAnsi="仿宋_GB2312" w:eastAsia="仿宋_GB2312" w:cs="仿宋_GB2312"/>
          <w:color w:val="auto"/>
          <w:sz w:val="32"/>
          <w:szCs w:val="32"/>
          <w:lang w:val="en-US" w:eastAsia="zh-CN"/>
        </w:rPr>
        <w:t>办公室、综合科、法规科、应急管理科、政务服务科、执法稽查局、登记注册科、信用监督管理科、消费者权益保护科、价格监督检查局、反不正当竞争与反垄断科、网络交易监督管理科、广告监督管理科、质量发展与认证认可监督管理科、产品质量安全监督管理科、食品安全综合科、食品生产安全监督管理科、食品流通安全监督管理科、餐饮服务安全监督管理科、药品生产与中蒙药监督管理科、药品流通和化妆品监督管理科、医疗器械监督管理科、特种设备安全监察局、计量科、标准化科、知识产权发展与保护科、科技信息科、人事科、财务审计科、机关党组织、个体私营经济组织党建办公室共计31个科室</w:t>
      </w:r>
      <w:r>
        <w:rPr>
          <w:rFonts w:hint="eastAsia" w:ascii="仿宋_GB2312" w:hAnsi="仿宋_GB2312" w:eastAsia="仿宋_GB2312" w:cs="仿宋_GB2312"/>
          <w:color w:val="auto"/>
          <w:sz w:val="32"/>
          <w:szCs w:val="32"/>
        </w:rPr>
        <w:t>。本单位下属单位包括：</w:t>
      </w:r>
      <w:r>
        <w:rPr>
          <w:rFonts w:hint="eastAsia" w:ascii="仿宋_GB2312" w:hAnsi="仿宋_GB2312" w:eastAsia="仿宋_GB2312" w:cs="仿宋_GB2312"/>
          <w:color w:val="000000"/>
          <w:sz w:val="32"/>
          <w:szCs w:val="32"/>
          <w:lang w:val="en-US" w:eastAsia="zh-CN"/>
        </w:rPr>
        <w:t>赤峰市市场监管服务中心、赤峰市产品质量检验检测中心、赤峰市食品药品安全监测中心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100" w:beforeLines="0" w:after="100" w:afterLines="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2.从决算单位构成看，纳入本财政汇总决算编制范围的预算单位共计</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家，具体包括：</w:t>
      </w:r>
      <w:r>
        <w:rPr>
          <w:rFonts w:hint="eastAsia" w:ascii="仿宋_GB2312" w:hAnsi="仿宋_GB2312" w:eastAsia="仿宋_GB2312" w:cs="仿宋_GB2312"/>
          <w:kern w:val="0"/>
          <w:sz w:val="32"/>
          <w:szCs w:val="32"/>
          <w:lang w:val="en-US" w:eastAsia="zh-CN"/>
        </w:rPr>
        <w:t>赤峰市市场监督管理局本级</w:t>
      </w:r>
      <w:r>
        <w:rPr>
          <w:rFonts w:hint="eastAsia" w:ascii="仿宋_GB2312" w:hAnsi="仿宋_GB2312" w:eastAsia="仿宋_GB2312" w:cs="仿宋_GB2312"/>
          <w:kern w:val="0"/>
          <w:sz w:val="32"/>
          <w:szCs w:val="32"/>
        </w:rPr>
        <w:t>。详细情况见表：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7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pacing w:beforeLines="0" w:afterLines="0" w:line="560" w:lineRule="exact"/>
              <w:textAlignment w:val="auto"/>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rPr>
              <w:t>序号</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pacing w:beforeLines="0" w:afterLines="0" w:line="560" w:lineRule="exact"/>
              <w:textAlignment w:val="auto"/>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rPr>
              <w:t>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pacing w:beforeLines="0" w:afterLines="0" w:line="560" w:lineRule="exact"/>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pacing w:beforeLines="0" w:afterLines="0" w:line="560" w:lineRule="exact"/>
              <w:textAlignment w:val="auto"/>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lang w:val="en-US" w:eastAsia="zh-CN"/>
              </w:rPr>
              <w:t>赤峰市市场监督管理局</w:t>
            </w:r>
            <w:r>
              <w:rPr>
                <w:rFonts w:hint="eastAsia" w:ascii="仿宋_GB2312" w:hAnsi="仿宋_GB2312" w:eastAsia="仿宋_GB2312"/>
                <w:color w:val="auto"/>
                <w:sz w:val="32"/>
                <w:szCs w:val="24"/>
              </w:rPr>
              <w:t>（本级）</w:t>
            </w:r>
          </w:p>
        </w:tc>
      </w:tr>
    </w:tbl>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黑体" w:hAnsi="黑体" w:eastAsia="黑体" w:cs="黑体"/>
          <w:b/>
          <w:bCs/>
          <w:kern w:val="0"/>
          <w:sz w:val="32"/>
          <w:szCs w:val="32"/>
        </w:rPr>
      </w:pPr>
      <w:r>
        <w:rPr>
          <w:rFonts w:ascii="黑体" w:hAnsi="黑体" w:eastAsia="黑体" w:cs="黑体"/>
          <w:b/>
          <w:bCs/>
          <w:kern w:val="0"/>
          <w:sz w:val="32"/>
          <w:szCs w:val="32"/>
        </w:rPr>
        <w:t>三、202</w:t>
      </w:r>
      <w:r>
        <w:rPr>
          <w:rFonts w:hint="eastAsia" w:ascii="黑体" w:hAnsi="黑体" w:eastAsia="黑体" w:cs="黑体"/>
          <w:b/>
          <w:bCs/>
          <w:kern w:val="0"/>
          <w:sz w:val="32"/>
          <w:szCs w:val="32"/>
          <w:lang w:val="en-US" w:eastAsia="zh-CN"/>
        </w:rPr>
        <w:t>4</w:t>
      </w:r>
      <w:r>
        <w:rPr>
          <w:rFonts w:ascii="黑体" w:hAnsi="黑体" w:eastAsia="黑体" w:cs="黑体"/>
          <w:b/>
          <w:bCs/>
          <w:kern w:val="0"/>
          <w:sz w:val="32"/>
          <w:szCs w:val="32"/>
        </w:rPr>
        <w:t>年度单位主要工作完成情况</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（一）</w:t>
      </w:r>
      <w:r>
        <w:rPr>
          <w:rFonts w:hint="eastAsia" w:ascii="楷体_GB2312" w:hAnsi="楷体_GB2312" w:eastAsia="楷体_GB2312" w:cs="楷体_GB2312"/>
          <w:kern w:val="0"/>
          <w:sz w:val="32"/>
          <w:szCs w:val="32"/>
          <w:lang w:val="en-US" w:eastAsia="zh-CN"/>
        </w:rPr>
        <w:t>提效能、增活力，推动营商环境持续优化。</w:t>
      </w:r>
      <w:r>
        <w:rPr>
          <w:rFonts w:hint="default" w:ascii="仿宋_GB2312" w:hAnsi="仿宋_GB2312" w:eastAsia="仿宋_GB2312" w:cs="仿宋_GB2312"/>
          <w:kern w:val="0"/>
          <w:sz w:val="32"/>
          <w:szCs w:val="32"/>
          <w:lang w:val="en-US" w:eastAsia="zh-CN"/>
        </w:rPr>
        <w:t>纵深推进市场监管领域“两优”行动，持续巩固“高效办成一件事”工作，深化“证照联办”改革，推出企业登记注册等6大类42项高频政务服务事项“免证办”服务，开展“告知承诺”审批改革，助力市场主体办事降本增效，实现即来即办、办事提速90%以上。</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（二）</w:t>
      </w:r>
      <w:r>
        <w:rPr>
          <w:rFonts w:hint="eastAsia" w:ascii="楷体_GB2312" w:hAnsi="楷体_GB2312" w:eastAsia="楷体_GB2312" w:cs="楷体_GB2312"/>
          <w:kern w:val="0"/>
          <w:sz w:val="32"/>
          <w:szCs w:val="32"/>
          <w:lang w:val="en-US" w:eastAsia="zh-CN"/>
        </w:rPr>
        <w:t>严执法、护公平，规范市场竞争秩序格局。</w:t>
      </w:r>
      <w:r>
        <w:rPr>
          <w:rFonts w:hint="default" w:ascii="仿宋_GB2312" w:hAnsi="仿宋_GB2312" w:eastAsia="仿宋_GB2312" w:cs="仿宋_GB2312"/>
          <w:kern w:val="0"/>
          <w:sz w:val="32"/>
          <w:szCs w:val="32"/>
          <w:lang w:val="en-US" w:eastAsia="zh-CN"/>
        </w:rPr>
        <w:t>进一步加大市场监管执法力度，集中开展民生领域“铁拳”、专项执法“亮剑”等系列行动，加强价格、广告、计量行业领域市场监管，依法严厉打击不正当竞争、虚假宣传、制假售劣、价格欺诈等违法违规行为，全市共受理投诉2.34万件，为消费者挽回经济损失315.35万元，立案调查案件1743件，移送公安机关7件，其中2件入选国家总局、自治区局“铁拳”行动典型案例。</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（三）</w:t>
      </w:r>
      <w:r>
        <w:rPr>
          <w:rFonts w:hint="eastAsia" w:ascii="楷体_GB2312" w:hAnsi="楷体_GB2312" w:eastAsia="楷体_GB2312" w:cs="楷体_GB2312"/>
          <w:kern w:val="0"/>
          <w:sz w:val="32"/>
          <w:szCs w:val="32"/>
          <w:lang w:val="en-US" w:eastAsia="zh-CN"/>
        </w:rPr>
        <w:t>强监管、防风险，保障安全形势稳定向好。</w:t>
      </w:r>
      <w:r>
        <w:rPr>
          <w:rFonts w:hint="default" w:ascii="仿宋_GB2312" w:hAnsi="仿宋_GB2312" w:eastAsia="仿宋_GB2312" w:cs="仿宋_GB2312"/>
          <w:kern w:val="0"/>
          <w:sz w:val="32"/>
          <w:szCs w:val="32"/>
          <w:lang w:val="en-US" w:eastAsia="zh-CN"/>
        </w:rPr>
        <w:t>实施食品药品安全社会共治工程，扎实推进我市校园食品安全排查专项整治行动，进一步加强校园及周边、城乡结合部、农村牧区、旅游景区等领域食品安全监管，全市共完成食品抽检任务12611批次，全市完成食品抽检任务12611批次，不合格率3.58%；实现“互联网+明厨亮灶”6419家，完成率达53.33%。</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（四）</w:t>
      </w:r>
      <w:r>
        <w:rPr>
          <w:rFonts w:hint="eastAsia" w:ascii="楷体_GB2312" w:hAnsi="楷体_GB2312" w:eastAsia="楷体_GB2312" w:cs="楷体_GB2312"/>
          <w:kern w:val="0"/>
          <w:sz w:val="32"/>
          <w:szCs w:val="32"/>
          <w:lang w:val="en-US" w:eastAsia="zh-CN"/>
        </w:rPr>
        <w:t>推创建、促改革，培育壮大经济发展新动能。</w:t>
      </w:r>
      <w:r>
        <w:rPr>
          <w:rFonts w:hint="default" w:ascii="仿宋_GB2312" w:hAnsi="仿宋_GB2312" w:eastAsia="仿宋_GB2312" w:cs="仿宋_GB2312"/>
          <w:kern w:val="0"/>
          <w:sz w:val="32"/>
          <w:szCs w:val="32"/>
          <w:lang w:val="en-US" w:eastAsia="zh-CN"/>
        </w:rPr>
        <w:t>深入实施质量强市战略，加快推进质量强企强链强县建设，推行首席质量官制度，持续“蒙”字标认证培育申报和质量基础设施“一站式”服务，培育申报“蒙”字标认证企业30余家，建立服务站23个，累计服务企业8000余家次，持续帮扶中小企业提升产品质量。</w:t>
      </w:r>
    </w:p>
    <w:p>
      <w:pPr>
        <w:pStyle w:val="3"/>
        <w:keepNext w:val="0"/>
        <w:keepLines w:val="0"/>
        <w:pageBreakBefore w:val="0"/>
        <w:widowControl/>
        <w:kinsoku/>
        <w:wordWrap/>
        <w:overflowPunct/>
        <w:topLinePunct w:val="0"/>
        <w:autoSpaceDE/>
        <w:autoSpaceDN/>
        <w:bidi w:val="0"/>
        <w:adjustRightInd/>
        <w:snapToGrid/>
        <w:spacing w:before="299" w:after="299"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kern w:val="0"/>
          <w:sz w:val="36"/>
          <w:szCs w:val="36"/>
        </w:rPr>
        <w:t>第二部分  单位决算情况说明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仿宋_GB2312" w:hAnsi="仿宋_GB2312" w:eastAsia="仿宋_GB2312" w:cs="仿宋_GB2312"/>
          <w:color w:val="0E00FE"/>
          <w:kern w:val="0"/>
          <w:sz w:val="27"/>
          <w:szCs w:val="27"/>
        </w:rPr>
      </w:pPr>
      <w:r>
        <w:rPr>
          <w:rFonts w:hint="eastAsia" w:ascii="黑体" w:hAnsi="黑体" w:eastAsia="黑体" w:cs="黑体"/>
          <w:b/>
          <w:bCs/>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赤峰市市场监督管理局（本级） 2024年度收入、支出决算总计均为 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356.70万元。与年初预算相比，收、支总计各减少</w:t>
      </w:r>
      <w:r>
        <w:rPr>
          <w:rFonts w:hint="eastAsia" w:ascii="仿宋_GB2312" w:hAnsi="仿宋_GB2312" w:eastAsia="仿宋_GB2312" w:cs="仿宋_GB2312"/>
          <w:kern w:val="0"/>
          <w:sz w:val="32"/>
          <w:szCs w:val="32"/>
          <w:u w:val="single"/>
        </w:rPr>
        <w:t xml:space="preserve"> 688.77</w:t>
      </w:r>
      <w:r>
        <w:rPr>
          <w:rFonts w:hint="eastAsia" w:ascii="仿宋_GB2312" w:hAnsi="仿宋_GB2312" w:eastAsia="仿宋_GB2312" w:cs="仿宋_GB2312"/>
          <w:kern w:val="0"/>
          <w:sz w:val="32"/>
          <w:szCs w:val="32"/>
        </w:rPr>
        <w:t xml:space="preserve">万元，下降 </w:t>
      </w:r>
      <w:r>
        <w:rPr>
          <w:rFonts w:hint="eastAsia" w:ascii="仿宋_GB2312" w:hAnsi="仿宋_GB2312" w:eastAsia="仿宋_GB2312" w:cs="仿宋_GB2312"/>
          <w:kern w:val="0"/>
          <w:sz w:val="32"/>
          <w:szCs w:val="32"/>
          <w:u w:val="single"/>
        </w:rPr>
        <w:t>17.03</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kern w:val="0"/>
          <w:sz w:val="32"/>
          <w:szCs w:val="32"/>
        </w:rPr>
        <w:t>；与上年决算相比，收、支总计各增加减少</w:t>
      </w:r>
      <w:r>
        <w:rPr>
          <w:rFonts w:hint="eastAsia" w:ascii="仿宋_GB2312" w:hAnsi="仿宋_GB2312" w:eastAsia="仿宋_GB2312" w:cs="仿宋_GB2312"/>
          <w:kern w:val="0"/>
          <w:sz w:val="32"/>
          <w:szCs w:val="32"/>
          <w:u w:val="single"/>
        </w:rPr>
        <w:t>474.72</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u w:val="single"/>
        </w:rPr>
        <w:t xml:space="preserve"> 12.39%</w:t>
      </w:r>
      <w:r>
        <w:rPr>
          <w:rFonts w:hint="eastAsia" w:ascii="仿宋_GB2312" w:hAnsi="仿宋_GB2312" w:eastAsia="仿宋_GB2312" w:cs="仿宋_GB2312"/>
          <w:kern w:val="0"/>
          <w:sz w:val="32"/>
          <w:szCs w:val="32"/>
        </w:rPr>
        <w:t>。其中：</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楷体_GB2312" w:hAnsi="楷体_GB2312" w:eastAsia="楷体_GB2312" w:cs="楷体_GB2312"/>
          <w:b/>
          <w:bCs/>
          <w:kern w:val="0"/>
          <w:sz w:val="32"/>
          <w:szCs w:val="32"/>
        </w:rPr>
        <w:t xml:space="preserve"> （一）收入决算总计</w:t>
      </w:r>
      <w:r>
        <w:rPr>
          <w:rFonts w:hint="eastAsia" w:ascii="楷体_GB2312" w:hAnsi="楷体_GB2312" w:eastAsia="楷体_GB2312" w:cs="楷体_GB2312"/>
          <w:b/>
          <w:bCs/>
          <w:kern w:val="0"/>
          <w:sz w:val="32"/>
          <w:szCs w:val="32"/>
          <w:u w:val="single"/>
        </w:rPr>
        <w:t> 3</w:t>
      </w:r>
      <w:r>
        <w:rPr>
          <w:rFonts w:hint="eastAsia" w:ascii="楷体_GB2312" w:hAnsi="楷体_GB2312" w:eastAsia="楷体_GB2312" w:cs="楷体_GB2312"/>
          <w:b/>
          <w:bCs/>
          <w:kern w:val="0"/>
          <w:sz w:val="32"/>
          <w:szCs w:val="32"/>
          <w:u w:val="single"/>
          <w:lang w:val="en-US" w:eastAsia="zh-CN"/>
        </w:rPr>
        <w:t>,</w:t>
      </w:r>
      <w:r>
        <w:rPr>
          <w:rFonts w:hint="eastAsia" w:ascii="楷体_GB2312" w:hAnsi="楷体_GB2312" w:eastAsia="楷体_GB2312" w:cs="楷体_GB2312"/>
          <w:b/>
          <w:bCs/>
          <w:kern w:val="0"/>
          <w:sz w:val="32"/>
          <w:szCs w:val="32"/>
          <w:u w:val="single"/>
        </w:rPr>
        <w:t>356.70</w:t>
      </w:r>
      <w:r>
        <w:rPr>
          <w:rFonts w:hint="eastAsia" w:ascii="楷体_GB2312" w:hAnsi="楷体_GB2312" w:eastAsia="楷体_GB2312" w:cs="楷体_GB2312"/>
          <w:b/>
          <w:bCs/>
          <w:kern w:val="0"/>
          <w:sz w:val="32"/>
          <w:szCs w:val="32"/>
        </w:rPr>
        <w:t>万元。包括：</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1.本年收入决算合计 </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346.70</w:t>
      </w:r>
      <w:r>
        <w:rPr>
          <w:rFonts w:hint="eastAsia" w:ascii="仿宋_GB2312" w:hAnsi="仿宋_GB2312" w:eastAsia="仿宋_GB2312" w:cs="仿宋_GB2312"/>
          <w:kern w:val="0"/>
          <w:sz w:val="32"/>
          <w:szCs w:val="32"/>
        </w:rPr>
        <w:t>万元。与上年决算相比，减少</w:t>
      </w:r>
      <w:r>
        <w:rPr>
          <w:rFonts w:hint="eastAsia" w:ascii="仿宋_GB2312" w:hAnsi="仿宋_GB2312" w:eastAsia="仿宋_GB2312" w:cs="仿宋_GB2312"/>
          <w:kern w:val="0"/>
          <w:sz w:val="32"/>
          <w:szCs w:val="32"/>
          <w:u w:val="single"/>
        </w:rPr>
        <w:t>483.88</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u w:val="single"/>
        </w:rPr>
        <w:t>12.63%</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2022年当年部分支出因财政资金紧张未支付结转至2023年支付，2023年收入较高</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2.使用非财政拨款结余（含专用结余）</w:t>
      </w:r>
      <w:r>
        <w:rPr>
          <w:rFonts w:hint="eastAsia" w:ascii="仿宋_GB2312" w:hAnsi="仿宋_GB2312" w:eastAsia="仿宋_GB2312" w:cs="仿宋_GB2312"/>
          <w:kern w:val="0"/>
          <w:sz w:val="32"/>
          <w:szCs w:val="32"/>
          <w:u w:val="single"/>
        </w:rPr>
        <w:t xml:space="preserve"> 0</w:t>
      </w:r>
      <w:r>
        <w:rPr>
          <w:rFonts w:hint="eastAsia" w:ascii="仿宋_GB2312" w:hAnsi="仿宋_GB2312" w:eastAsia="仿宋_GB2312" w:cs="仿宋_GB2312"/>
          <w:kern w:val="0"/>
          <w:sz w:val="32"/>
          <w:szCs w:val="32"/>
        </w:rPr>
        <w:t>万元。与上年决算相比，增加</w:t>
      </w:r>
      <w:r>
        <w:rPr>
          <w:rFonts w:hint="eastAsia" w:ascii="仿宋_GB2312" w:hAnsi="仿宋_GB2312" w:eastAsia="仿宋_GB2312" w:cs="仿宋_GB2312"/>
          <w:kern w:val="0"/>
          <w:sz w:val="32"/>
          <w:szCs w:val="32"/>
          <w:u w:val="single"/>
        </w:rPr>
        <w:t xml:space="preserve"> 0</w:t>
      </w:r>
      <w:r>
        <w:rPr>
          <w:rFonts w:hint="eastAsia" w:ascii="仿宋_GB2312" w:hAnsi="仿宋_GB2312" w:eastAsia="仿宋_GB2312" w:cs="仿宋_GB2312"/>
          <w:kern w:val="0"/>
          <w:sz w:val="32"/>
          <w:szCs w:val="32"/>
        </w:rPr>
        <w:t xml:space="preserve">万元，增长 </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，变动原因：不存在此项内容。</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3.年初结转和结余</w:t>
      </w:r>
      <w:r>
        <w:rPr>
          <w:rFonts w:hint="eastAsia" w:ascii="仿宋_GB2312" w:hAnsi="仿宋_GB2312" w:eastAsia="仿宋_GB2312" w:cs="仿宋_GB2312"/>
          <w:kern w:val="0"/>
          <w:sz w:val="32"/>
          <w:szCs w:val="32"/>
          <w:u w:val="single"/>
        </w:rPr>
        <w:t> 10.00</w:t>
      </w:r>
      <w:r>
        <w:rPr>
          <w:rFonts w:hint="eastAsia" w:ascii="仿宋_GB2312" w:hAnsi="仿宋_GB2312" w:eastAsia="仿宋_GB2312" w:cs="仿宋_GB2312"/>
          <w:kern w:val="0"/>
          <w:sz w:val="32"/>
          <w:szCs w:val="32"/>
        </w:rPr>
        <w:t>万元。与上年决算相比，增加 </w:t>
      </w:r>
      <w:r>
        <w:rPr>
          <w:rFonts w:hint="eastAsia" w:ascii="仿宋_GB2312" w:hAnsi="仿宋_GB2312" w:eastAsia="仿宋_GB2312" w:cs="仿宋_GB2312"/>
          <w:kern w:val="0"/>
          <w:sz w:val="32"/>
          <w:szCs w:val="32"/>
          <w:u w:val="single"/>
        </w:rPr>
        <w:t>9.16</w:t>
      </w:r>
      <w:r>
        <w:rPr>
          <w:rFonts w:hint="eastAsia" w:ascii="仿宋_GB2312" w:hAnsi="仿宋_GB2312" w:eastAsia="仿宋_GB2312" w:cs="仿宋_GB2312"/>
          <w:kern w:val="0"/>
          <w:sz w:val="32"/>
          <w:szCs w:val="32"/>
        </w:rPr>
        <w:t>万元，增长 </w:t>
      </w:r>
      <w:r>
        <w:rPr>
          <w:rFonts w:hint="eastAsia" w:ascii="仿宋_GB2312" w:hAnsi="仿宋_GB2312" w:eastAsia="仿宋_GB2312" w:cs="仿宋_GB2312"/>
          <w:kern w:val="0"/>
          <w:sz w:val="32"/>
          <w:szCs w:val="32"/>
          <w:u w:val="single"/>
        </w:rPr>
        <w:t>1090.47%</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2023年底收入自治区拨款商标品牌指导站经费，结转至2024年</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jc w:val="left"/>
        <w:textAlignment w:val="auto"/>
        <w:rPr>
          <w:rFonts w:hint="eastAsia" w:ascii="楷体_GB2312" w:hAnsi="楷体_GB2312" w:eastAsia="楷体_GB2312" w:cs="楷体_GB2312"/>
          <w:b/>
          <w:bCs/>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kern w:val="0"/>
          <w:sz w:val="32"/>
          <w:szCs w:val="32"/>
        </w:rPr>
        <w:t>（二）支出决算总计</w:t>
      </w:r>
      <w:r>
        <w:rPr>
          <w:rFonts w:hint="eastAsia" w:ascii="楷体_GB2312" w:hAnsi="楷体_GB2312" w:eastAsia="楷体_GB2312" w:cs="楷体_GB2312"/>
          <w:b/>
          <w:bCs/>
          <w:kern w:val="0"/>
          <w:sz w:val="32"/>
          <w:szCs w:val="32"/>
          <w:u w:val="single"/>
        </w:rPr>
        <w:t> 3</w:t>
      </w:r>
      <w:r>
        <w:rPr>
          <w:rFonts w:hint="eastAsia" w:ascii="楷体_GB2312" w:hAnsi="楷体_GB2312" w:eastAsia="楷体_GB2312" w:cs="楷体_GB2312"/>
          <w:b/>
          <w:bCs/>
          <w:kern w:val="0"/>
          <w:sz w:val="32"/>
          <w:szCs w:val="32"/>
          <w:u w:val="single"/>
          <w:lang w:val="en-US" w:eastAsia="zh-CN"/>
        </w:rPr>
        <w:t>,</w:t>
      </w:r>
      <w:r>
        <w:rPr>
          <w:rFonts w:hint="eastAsia" w:ascii="楷体_GB2312" w:hAnsi="楷体_GB2312" w:eastAsia="楷体_GB2312" w:cs="楷体_GB2312"/>
          <w:b/>
          <w:bCs/>
          <w:kern w:val="0"/>
          <w:sz w:val="32"/>
          <w:szCs w:val="32"/>
          <w:u w:val="single"/>
        </w:rPr>
        <w:t>356.70</w:t>
      </w:r>
      <w:r>
        <w:rPr>
          <w:rFonts w:hint="eastAsia" w:ascii="楷体_GB2312" w:hAnsi="楷体_GB2312" w:eastAsia="楷体_GB2312" w:cs="楷体_GB2312"/>
          <w:b/>
          <w:bCs/>
          <w:kern w:val="0"/>
          <w:sz w:val="32"/>
          <w:szCs w:val="32"/>
        </w:rPr>
        <w:t>万元。包括：</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kern w:val="0"/>
          <w:sz w:val="32"/>
          <w:szCs w:val="32"/>
        </w:rPr>
        <w:t>  1.本年支出决算合计 </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354.34</w:t>
      </w:r>
      <w:r>
        <w:rPr>
          <w:rFonts w:hint="eastAsia" w:ascii="仿宋_GB2312" w:hAnsi="仿宋_GB2312" w:eastAsia="仿宋_GB2312" w:cs="仿宋_GB2312"/>
          <w:kern w:val="0"/>
          <w:sz w:val="32"/>
          <w:szCs w:val="32"/>
        </w:rPr>
        <w:t>万元。与上年决算相比，减少</w:t>
      </w:r>
      <w:r>
        <w:rPr>
          <w:rFonts w:hint="eastAsia" w:ascii="仿宋_GB2312" w:hAnsi="仿宋_GB2312" w:eastAsia="仿宋_GB2312" w:cs="仿宋_GB2312"/>
          <w:kern w:val="0"/>
          <w:sz w:val="32"/>
          <w:szCs w:val="32"/>
          <w:u w:val="single"/>
        </w:rPr>
        <w:t>467.08</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u w:val="single"/>
        </w:rPr>
        <w:t> 12.22%</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2022年当年部分支出因财政资金紧张未支付结转至2023年支付，2023年支出较高</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2.结余分配</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万元。结余分配事项：不存在此项内容。与上年决算相比，增加 </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，变动原因：不存在此项内容。</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3.年末结转和结余</w:t>
      </w:r>
      <w:r>
        <w:rPr>
          <w:rFonts w:hint="eastAsia" w:ascii="仿宋_GB2312" w:hAnsi="仿宋_GB2312" w:eastAsia="仿宋_GB2312" w:cs="仿宋_GB2312"/>
          <w:kern w:val="0"/>
          <w:sz w:val="32"/>
          <w:szCs w:val="32"/>
          <w:u w:val="single"/>
        </w:rPr>
        <w:t> 2.35</w:t>
      </w:r>
      <w:r>
        <w:rPr>
          <w:rFonts w:hint="eastAsia" w:ascii="仿宋_GB2312" w:hAnsi="仿宋_GB2312" w:eastAsia="仿宋_GB2312" w:cs="仿宋_GB2312"/>
          <w:kern w:val="0"/>
          <w:sz w:val="32"/>
          <w:szCs w:val="32"/>
        </w:rPr>
        <w:t>万元。结转和结余事项：</w:t>
      </w:r>
      <w:r>
        <w:rPr>
          <w:rFonts w:hint="eastAsia" w:ascii="仿宋_GB2312" w:hAnsi="仿宋_GB2312" w:eastAsia="仿宋_GB2312" w:cs="仿宋_GB2312"/>
          <w:kern w:val="0"/>
          <w:sz w:val="32"/>
          <w:szCs w:val="32"/>
          <w:lang w:val="en-US" w:eastAsia="zh-CN"/>
        </w:rPr>
        <w:t>知识产权商标指导站经费</w:t>
      </w:r>
      <w:r>
        <w:rPr>
          <w:rFonts w:hint="eastAsia" w:ascii="仿宋_GB2312" w:hAnsi="仿宋_GB2312" w:eastAsia="仿宋_GB2312" w:cs="仿宋_GB2312"/>
          <w:kern w:val="0"/>
          <w:sz w:val="32"/>
          <w:szCs w:val="32"/>
        </w:rPr>
        <w:t>。与上年决算相比，减少</w:t>
      </w:r>
      <w:r>
        <w:rPr>
          <w:rFonts w:hint="eastAsia" w:ascii="仿宋_GB2312" w:hAnsi="仿宋_GB2312" w:eastAsia="仿宋_GB2312" w:cs="仿宋_GB2312"/>
          <w:kern w:val="0"/>
          <w:sz w:val="32"/>
          <w:szCs w:val="32"/>
          <w:u w:val="single"/>
        </w:rPr>
        <w:t>7.65</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u w:val="single"/>
        </w:rPr>
        <w:t>76.48%</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本年支付知识产权商标指导站经费</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黑体" w:hAnsi="黑体" w:eastAsia="黑体" w:cs="黑体"/>
          <w:b/>
          <w:bCs/>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32"/>
          <w:szCs w:val="32"/>
        </w:rPr>
        <w:t>  二、收入决算情况说明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赤峰市市场监督管理局（本级） 2024年度本年收入决算合计 </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346.70</w:t>
      </w:r>
      <w:r>
        <w:rPr>
          <w:rFonts w:hint="eastAsia" w:ascii="仿宋_GB2312" w:hAnsi="仿宋_GB2312" w:eastAsia="仿宋_GB2312" w:cs="仿宋_GB2312"/>
          <w:kern w:val="0"/>
          <w:sz w:val="32"/>
          <w:szCs w:val="32"/>
        </w:rPr>
        <w:t>万元，其中：</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本年一般公共预算财政拨款收入</w:t>
      </w:r>
      <w:r>
        <w:rPr>
          <w:rFonts w:hint="eastAsia" w:ascii="仿宋_GB2312" w:hAnsi="仿宋_GB2312" w:eastAsia="仿宋_GB2312" w:cs="仿宋_GB2312"/>
          <w:kern w:val="0"/>
          <w:sz w:val="32"/>
          <w:szCs w:val="32"/>
          <w:u w:val="single"/>
        </w:rPr>
        <w:t> 3</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346.70</w:t>
      </w:r>
      <w:r>
        <w:rPr>
          <w:rFonts w:hint="eastAsia" w:ascii="仿宋_GB2312" w:hAnsi="仿宋_GB2312" w:eastAsia="仿宋_GB2312" w:cs="仿宋_GB2312"/>
          <w:kern w:val="0"/>
          <w:sz w:val="32"/>
          <w:szCs w:val="32"/>
        </w:rPr>
        <w:t>万元，占 </w:t>
      </w:r>
      <w:r>
        <w:rPr>
          <w:rFonts w:hint="eastAsia" w:ascii="仿宋_GB2312" w:hAnsi="仿宋_GB2312" w:eastAsia="仿宋_GB2312" w:cs="仿宋_GB2312"/>
          <w:kern w:val="0"/>
          <w:sz w:val="32"/>
          <w:szCs w:val="32"/>
          <w:u w:val="single"/>
        </w:rPr>
        <w:t>100.00%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本年政府性基金预算财政拨款收入</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本年国有资本经营预算财政拨款收入 </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本年上级补助收入</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本年事业收入</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本年经营收入</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本年附属单位上缴收入 </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本年其他收入</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u w:val="single"/>
        </w:rPr>
        <w:t> 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before="240" w:after="240" w:line="500" w:lineRule="exact"/>
        <w:textAlignment w:val="auto"/>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59264" behindDoc="0" locked="0" layoutInCell="1" allowOverlap="1">
            <wp:simplePos x="0" y="0"/>
            <wp:positionH relativeFrom="column">
              <wp:posOffset>328930</wp:posOffset>
            </wp:positionH>
            <wp:positionV relativeFrom="paragraph">
              <wp:posOffset>60960</wp:posOffset>
            </wp:positionV>
            <wp:extent cx="4896485" cy="3060065"/>
            <wp:effectExtent l="0" t="0" r="18415" b="6985"/>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4896485" cy="3060065"/>
                    </a:xfrm>
                    <a:prstGeom prst="rect">
                      <a:avLst/>
                    </a:prstGeom>
                    <a:noFill/>
                    <a:ln>
                      <a:noFill/>
                    </a:ln>
                  </pic:spPr>
                </pic:pic>
              </a:graphicData>
            </a:graphic>
          </wp:anchor>
        </w:drawing>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hint="eastAsia" w:ascii="Calibri" w:hAnsi="Calibri" w:eastAsia="宋体" w:cs="Calibri"/>
          <w:color w:val="0E00FE"/>
          <w:kern w:val="0"/>
          <w:sz w:val="27"/>
          <w:szCs w:val="27"/>
          <w:lang w:val="en-US" w:eastAsia="zh-CN"/>
        </w:rPr>
        <w:t xml:space="preserve">                    </w:t>
      </w:r>
      <w:r>
        <w:rPr>
          <w:rFonts w:ascii="Times New Roman" w:hAnsi="Times New Roman" w:eastAsia="Times New Roman" w:cs="Times New Roman"/>
          <w:kern w:val="0"/>
          <w:sz w:val="24"/>
        </w:rPr>
        <w:t xml:space="preserve">  </w:t>
      </w:r>
      <w:r>
        <w:rPr>
          <w:rFonts w:hint="eastAsia" w:ascii="仿宋_GB2312" w:hAnsi="仿宋_GB2312" w:eastAsia="仿宋_GB2312" w:cs="仿宋_GB2312"/>
          <w:kern w:val="0"/>
          <w:sz w:val="32"/>
          <w:szCs w:val="32"/>
        </w:rPr>
        <w:t>图1.收入决算图</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赤峰市市场监督管理局（本级） 2024年度本年支出决算合计</w:t>
      </w:r>
      <w:r>
        <w:rPr>
          <w:rFonts w:hint="eastAsia" w:ascii="仿宋_GB2312" w:hAnsi="仿宋_GB2312" w:eastAsia="仿宋_GB2312" w:cs="仿宋_GB2312"/>
          <w:color w:val="000000"/>
          <w:kern w:val="0"/>
          <w:sz w:val="32"/>
          <w:szCs w:val="32"/>
          <w:u w:val="single" w:color="000000"/>
        </w:rPr>
        <w:t> 3</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354.34</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本年基本支出</w:t>
      </w:r>
      <w:r>
        <w:rPr>
          <w:rFonts w:hint="eastAsia" w:ascii="仿宋_GB2312" w:hAnsi="仿宋_GB2312" w:eastAsia="仿宋_GB2312" w:cs="仿宋_GB2312"/>
          <w:color w:val="000000"/>
          <w:kern w:val="0"/>
          <w:sz w:val="32"/>
          <w:szCs w:val="32"/>
          <w:u w:val="single" w:color="000000"/>
        </w:rPr>
        <w:t> 2</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774.87</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82.72</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本年项目支出</w:t>
      </w:r>
      <w:r>
        <w:rPr>
          <w:rFonts w:hint="eastAsia" w:ascii="仿宋_GB2312" w:hAnsi="仿宋_GB2312" w:eastAsia="仿宋_GB2312" w:cs="仿宋_GB2312"/>
          <w:color w:val="000000"/>
          <w:kern w:val="0"/>
          <w:sz w:val="32"/>
          <w:szCs w:val="32"/>
          <w:u w:val="single" w:color="000000"/>
        </w:rPr>
        <w:t> 579.48</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17.28</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pacing w:before="240" w:after="240" w:line="500" w:lineRule="exact"/>
        <w:textAlignment w:val="auto"/>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60288" behindDoc="0" locked="0" layoutInCell="1" allowOverlap="1">
            <wp:simplePos x="0" y="0"/>
            <wp:positionH relativeFrom="column">
              <wp:posOffset>673735</wp:posOffset>
            </wp:positionH>
            <wp:positionV relativeFrom="paragraph">
              <wp:posOffset>121920</wp:posOffset>
            </wp:positionV>
            <wp:extent cx="4429125" cy="2768600"/>
            <wp:effectExtent l="0" t="0" r="9525" b="12700"/>
            <wp:wrapTopAndBottom/>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4429125" cy="2768600"/>
                    </a:xfrm>
                    <a:prstGeom prst="rect">
                      <a:avLst/>
                    </a:prstGeom>
                    <a:noFill/>
                    <a:ln>
                      <a:noFill/>
                    </a:ln>
                  </pic:spPr>
                </pic:pic>
              </a:graphicData>
            </a:graphic>
          </wp:anchor>
        </w:drawing>
      </w:r>
      <w:r>
        <w:rPr>
          <w:rFonts w:ascii="Calibri" w:hAnsi="Calibri" w:eastAsia="Calibri" w:cs="Calibri"/>
          <w:color w:val="0E00FE"/>
          <w:kern w:val="0"/>
          <w:sz w:val="27"/>
          <w:szCs w:val="27"/>
        </w:rPr>
        <w:t> </w:t>
      </w:r>
      <w:r>
        <w:rPr>
          <w:rFonts w:hint="eastAsia" w:ascii="Calibri" w:hAnsi="Calibri" w:eastAsia="宋体" w:cs="Calibri"/>
          <w:color w:val="0E00FE"/>
          <w:kern w:val="0"/>
          <w:sz w:val="27"/>
          <w:szCs w:val="27"/>
          <w:lang w:val="en-US" w:eastAsia="zh-CN"/>
        </w:rPr>
        <w:t xml:space="preserve">                       </w:t>
      </w:r>
      <w:r>
        <w:rPr>
          <w:rFonts w:ascii="仿宋_GB2312" w:hAnsi="仿宋_GB2312" w:eastAsia="仿宋_GB2312" w:cs="仿宋_GB2312"/>
          <w:kern w:val="0"/>
          <w:sz w:val="32"/>
          <w:szCs w:val="32"/>
        </w:rPr>
        <w:t>图2.支出决算图</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2024年度财政拨款收入、支出决算总计均为</w:t>
      </w:r>
      <w:r>
        <w:rPr>
          <w:rFonts w:hint="eastAsia" w:ascii="仿宋_GB2312" w:hAnsi="仿宋_GB2312" w:eastAsia="仿宋_GB2312" w:cs="仿宋_GB2312"/>
          <w:color w:val="000000"/>
          <w:kern w:val="0"/>
          <w:sz w:val="32"/>
          <w:szCs w:val="32"/>
          <w:u w:val="single" w:color="000000"/>
        </w:rPr>
        <w:t> 3</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346.70</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single" w:color="000000"/>
        </w:rPr>
        <w:t>698.77</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17.27</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一是响应财政过紧日子号召，本年压减经费支出；二是人员减少，人员工资支出降低</w:t>
      </w:r>
      <w:r>
        <w:rPr>
          <w:rFonts w:hint="eastAsia" w:ascii="仿宋_GB2312" w:hAnsi="仿宋_GB2312" w:eastAsia="仿宋_GB2312" w:cs="仿宋_GB2312"/>
          <w:color w:val="000000"/>
          <w:kern w:val="0"/>
          <w:sz w:val="32"/>
          <w:szCs w:val="32"/>
        </w:rPr>
        <w:t>；与上年决算相比，收、支总计各增减少</w:t>
      </w:r>
      <w:r>
        <w:rPr>
          <w:rFonts w:hint="eastAsia" w:ascii="仿宋_GB2312" w:hAnsi="仿宋_GB2312" w:eastAsia="仿宋_GB2312" w:cs="仿宋_GB2312"/>
          <w:color w:val="000000"/>
          <w:kern w:val="0"/>
          <w:sz w:val="32"/>
          <w:szCs w:val="32"/>
          <w:u w:val="single" w:color="000000"/>
        </w:rPr>
        <w:t>473.88</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12.40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2024年度一般公共预算财政拨款支出决算</w:t>
      </w:r>
      <w:r>
        <w:rPr>
          <w:rFonts w:hint="eastAsia" w:ascii="仿宋_GB2312" w:hAnsi="仿宋_GB2312" w:eastAsia="仿宋_GB2312" w:cs="仿宋_GB2312"/>
          <w:color w:val="000000"/>
          <w:kern w:val="0"/>
          <w:sz w:val="32"/>
          <w:szCs w:val="32"/>
          <w:u w:val="single" w:color="000000"/>
        </w:rPr>
        <w:t> 3</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346.70</w:t>
      </w:r>
      <w:r>
        <w:rPr>
          <w:rFonts w:hint="eastAsia" w:ascii="仿宋_GB2312" w:hAnsi="仿宋_GB2312" w:eastAsia="仿宋_GB2312" w:cs="仿宋_GB2312"/>
          <w:color w:val="000000"/>
          <w:kern w:val="0"/>
          <w:sz w:val="32"/>
          <w:szCs w:val="32"/>
        </w:rPr>
        <w:t>万元。与年初预算</w:t>
      </w:r>
      <w:r>
        <w:rPr>
          <w:rFonts w:hint="eastAsia" w:ascii="仿宋_GB2312" w:hAnsi="仿宋_GB2312" w:eastAsia="仿宋_GB2312" w:cs="仿宋_GB2312"/>
          <w:color w:val="000000"/>
          <w:kern w:val="0"/>
          <w:sz w:val="32"/>
          <w:szCs w:val="32"/>
          <w:u w:val="single" w:color="000000"/>
        </w:rPr>
        <w:t xml:space="preserve"> 4</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045.47</w:t>
      </w:r>
      <w:r>
        <w:rPr>
          <w:rFonts w:hint="eastAsia" w:ascii="仿宋_GB2312" w:hAnsi="仿宋_GB2312" w:eastAsia="仿宋_GB2312" w:cs="仿宋_GB2312"/>
          <w:color w:val="000000"/>
          <w:kern w:val="0"/>
          <w:sz w:val="32"/>
          <w:szCs w:val="32"/>
        </w:rPr>
        <w:t>万元相比，完成年初预算的</w:t>
      </w:r>
      <w:r>
        <w:rPr>
          <w:rFonts w:hint="eastAsia" w:ascii="仿宋_GB2312" w:hAnsi="仿宋_GB2312" w:eastAsia="仿宋_GB2312" w:cs="仿宋_GB2312"/>
          <w:color w:val="000000"/>
          <w:kern w:val="0"/>
          <w:sz w:val="32"/>
          <w:szCs w:val="32"/>
          <w:u w:val="single" w:color="000000"/>
        </w:rPr>
        <w:t xml:space="preserve"> 82.73</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b/>
          <w:bCs/>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kern w:val="0"/>
          <w:sz w:val="32"/>
          <w:szCs w:val="32"/>
        </w:rPr>
        <w:t>（一）一般公共服务（类）</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一般公共服务（类）决算数为</w:t>
      </w:r>
      <w:r>
        <w:rPr>
          <w:rFonts w:hint="eastAsia" w:ascii="仿宋_GB2312" w:hAnsi="仿宋_GB2312" w:eastAsia="仿宋_GB2312" w:cs="仿宋_GB2312"/>
          <w:color w:val="000000"/>
          <w:kern w:val="0"/>
          <w:sz w:val="32"/>
          <w:szCs w:val="32"/>
          <w:u w:val="single" w:color="000000"/>
        </w:rPr>
        <w:t> 2</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549.99</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683.17</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24"/>
          <w:lang w:val="en-US" w:eastAsia="zh-CN"/>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 w:hAnsi="仿宋" w:eastAsia="仿宋" w:cs="仿宋"/>
          <w:kern w:val="0"/>
          <w:sz w:val="32"/>
          <w:szCs w:val="32"/>
          <w:lang w:val="en-US" w:eastAsia="zh-CN"/>
        </w:rPr>
        <w:t>1.</w:t>
      </w:r>
      <w:r>
        <w:rPr>
          <w:rFonts w:hint="eastAsia" w:ascii="仿宋_GB2312" w:hAnsi="仿宋_GB2312" w:eastAsia="仿宋_GB2312" w:cs="Times New Roman"/>
          <w:color w:val="auto"/>
          <w:kern w:val="2"/>
          <w:sz w:val="32"/>
          <w:szCs w:val="24"/>
          <w:lang w:val="en-US" w:eastAsia="zh-CN"/>
        </w:rPr>
        <w:t>知识产权事务（款）其他知识产权事务支出（项）。年初预算</w:t>
      </w:r>
      <w:r>
        <w:rPr>
          <w:rFonts w:hint="eastAsia" w:ascii="仿宋_GB2312" w:hAnsi="仿宋_GB2312" w:eastAsia="仿宋_GB2312" w:cs="Times New Roman"/>
          <w:color w:val="auto"/>
          <w:kern w:val="2"/>
          <w:sz w:val="32"/>
          <w:szCs w:val="24"/>
          <w:u w:val="single"/>
          <w:lang w:val="en-US" w:eastAsia="zh-CN"/>
        </w:rPr>
        <w:t>75.00</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74.70</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99.60</w:t>
      </w:r>
      <w:r>
        <w:rPr>
          <w:rFonts w:hint="eastAsia" w:ascii="仿宋_GB2312" w:hAnsi="仿宋_GB2312" w:eastAsia="仿宋_GB2312" w:cs="Times New Roman"/>
          <w:color w:val="auto"/>
          <w:kern w:val="2"/>
          <w:sz w:val="32"/>
          <w:szCs w:val="24"/>
          <w:lang w:val="en-US" w:eastAsia="zh-CN"/>
        </w:rPr>
        <w:t>%。决算数与年初预算数的差异原因：此项目本年已全部执行。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2.市场监督管理事务（款）行政运行（项）。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2,223.98</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1,978.16</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88.95</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仿宋_GB2312"/>
          <w:color w:val="000000"/>
          <w:kern w:val="0"/>
          <w:sz w:val="32"/>
          <w:szCs w:val="32"/>
          <w:lang w:val="en-US" w:eastAsia="zh-CN"/>
        </w:rPr>
        <w:t>人员减少，人员工资支出降低</w:t>
      </w:r>
      <w:r>
        <w:rPr>
          <w:rFonts w:hint="eastAsia" w:ascii="仿宋_GB2312" w:hAnsi="仿宋_GB2312" w:eastAsia="仿宋_GB2312" w:cs="Times New Roman"/>
          <w:color w:val="auto"/>
          <w:kern w:val="2"/>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3.市场监督管理事务（款）市场秩序执法（项）。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164.17</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164.17</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100.00</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4.市场监督管理事务（款）质量基础（项）。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112.62</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82.42</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73.18</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一是质量标准化体系建设项目项目结束未成功支付，结转至下一年度继续使用；二是年底压减项目支出。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5.市场监督管理事务（款）质量安全监管（项）。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315.98</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194.95</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61.70</w:t>
      </w:r>
      <w:r>
        <w:rPr>
          <w:rFonts w:hint="eastAsia" w:ascii="仿宋_GB2312" w:hAnsi="仿宋_GB2312" w:eastAsia="仿宋_GB2312" w:cs="Times New Roman"/>
          <w:color w:val="auto"/>
          <w:kern w:val="2"/>
          <w:sz w:val="32"/>
          <w:szCs w:val="24"/>
        </w:rPr>
        <w:t>%。决算数与年初预算数的差异原因：202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rPr>
        <w:t>特种设备考试人员经费当年度</w:t>
      </w:r>
      <w:r>
        <w:rPr>
          <w:rFonts w:hint="eastAsia" w:ascii="仿宋_GB2312" w:hAnsi="仿宋_GB2312" w:eastAsia="仿宋_GB2312" w:cs="Times New Roman"/>
          <w:color w:val="auto"/>
          <w:kern w:val="2"/>
          <w:sz w:val="32"/>
          <w:szCs w:val="24"/>
          <w:lang w:val="en-US" w:eastAsia="zh-CN"/>
        </w:rPr>
        <w:t>财政年底资金紧张</w:t>
      </w:r>
      <w:r>
        <w:rPr>
          <w:rFonts w:hint="eastAsia" w:ascii="仿宋_GB2312" w:hAnsi="仿宋_GB2312" w:eastAsia="仿宋_GB2312" w:cs="Times New Roman"/>
          <w:color w:val="auto"/>
          <w:kern w:val="2"/>
          <w:sz w:val="32"/>
          <w:szCs w:val="24"/>
        </w:rPr>
        <w:t>未支付成功，</w:t>
      </w:r>
      <w:r>
        <w:rPr>
          <w:rFonts w:hint="eastAsia" w:ascii="仿宋_GB2312" w:hAnsi="仿宋_GB2312" w:eastAsia="仿宋_GB2312" w:cs="Times New Roman"/>
          <w:color w:val="auto"/>
          <w:kern w:val="2"/>
          <w:sz w:val="32"/>
          <w:szCs w:val="24"/>
          <w:lang w:val="en-US" w:eastAsia="zh-CN"/>
        </w:rPr>
        <w:t>结转至2025年支付。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6.市场监督管理事务（款）食品安全监管（项）。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71.46</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55.59</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77.79</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年底压减项目支出。</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w:t>
      </w: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rPr>
        <w:t>）社会保障和就业支出（类）</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社会保障和就业支出（类）决算数为</w:t>
      </w:r>
      <w:r>
        <w:rPr>
          <w:rFonts w:hint="eastAsia" w:ascii="仿宋_GB2312" w:hAnsi="仿宋_GB2312" w:eastAsia="仿宋_GB2312" w:cs="仿宋_GB2312"/>
          <w:color w:val="000000"/>
          <w:kern w:val="0"/>
          <w:sz w:val="32"/>
          <w:szCs w:val="32"/>
          <w:u w:val="single" w:color="000000"/>
        </w:rPr>
        <w:t> 498.54</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 xml:space="preserve"> 13.69</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24"/>
          <w:lang w:val="en-US" w:eastAsia="zh-CN"/>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Times New Roman"/>
          <w:color w:val="auto"/>
          <w:kern w:val="2"/>
          <w:sz w:val="32"/>
          <w:szCs w:val="24"/>
          <w:lang w:val="en-US" w:eastAsia="zh-CN"/>
        </w:rPr>
        <w:t>1．行政事业单位养老支出（款）行政单位离退休（项）。年初预算</w:t>
      </w:r>
      <w:r>
        <w:rPr>
          <w:rFonts w:hint="eastAsia" w:ascii="仿宋_GB2312" w:hAnsi="仿宋_GB2312" w:eastAsia="仿宋_GB2312" w:cs="Times New Roman"/>
          <w:color w:val="auto"/>
          <w:kern w:val="2"/>
          <w:sz w:val="32"/>
          <w:szCs w:val="24"/>
          <w:u w:val="single"/>
          <w:lang w:val="en-US" w:eastAsia="zh-CN"/>
        </w:rPr>
        <w:t>251.7</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253.99</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100.91</w:t>
      </w:r>
      <w:r>
        <w:rPr>
          <w:rFonts w:hint="eastAsia" w:ascii="仿宋_GB2312" w:hAnsi="仿宋_GB2312" w:eastAsia="仿宋_GB2312" w:cs="Times New Roman"/>
          <w:color w:val="auto"/>
          <w:kern w:val="2"/>
          <w:sz w:val="32"/>
          <w:szCs w:val="24"/>
          <w:lang w:val="en-US" w:eastAsia="zh-CN"/>
        </w:rPr>
        <w:t>%。决算数与年初预算数的差异原因：2024年底增人增资，增加离休费及退休项目外待遇。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2．行政事业单位养老支出（款）机关事业单位基本养老保险缴费支出（项）。年初预算</w:t>
      </w:r>
      <w:r>
        <w:rPr>
          <w:rFonts w:hint="eastAsia" w:ascii="仿宋_GB2312" w:hAnsi="仿宋_GB2312" w:eastAsia="仿宋_GB2312" w:cs="Times New Roman"/>
          <w:color w:val="auto"/>
          <w:kern w:val="2"/>
          <w:sz w:val="32"/>
          <w:szCs w:val="24"/>
          <w:u w:val="single"/>
          <w:lang w:val="en-US" w:eastAsia="zh-CN"/>
        </w:rPr>
        <w:t>229.19</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189.06</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82.49</w:t>
      </w:r>
      <w:r>
        <w:rPr>
          <w:rFonts w:hint="eastAsia" w:ascii="仿宋_GB2312" w:hAnsi="仿宋_GB2312" w:eastAsia="仿宋_GB2312" w:cs="Times New Roman"/>
          <w:color w:val="auto"/>
          <w:kern w:val="2"/>
          <w:sz w:val="32"/>
          <w:szCs w:val="24"/>
          <w:lang w:val="en-US" w:eastAsia="zh-CN"/>
        </w:rPr>
        <w:t>%。决算数与年初预算数的差异原因：职工退休，本年在职人员减少，养老保险支出减少。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default" w:ascii="仿宋_GB2312" w:hAnsi="仿宋_GB2312" w:eastAsia="仿宋_GB2312" w:cs="Times New Roman"/>
          <w:color w:val="auto"/>
          <w:kern w:val="2"/>
          <w:sz w:val="32"/>
          <w:szCs w:val="24"/>
          <w:lang w:val="en-US" w:eastAsia="zh-CN"/>
        </w:rPr>
        <w:t>3.</w:t>
      </w:r>
      <w:r>
        <w:rPr>
          <w:rFonts w:hint="eastAsia" w:ascii="仿宋_GB2312" w:hAnsi="仿宋_GB2312" w:eastAsia="仿宋_GB2312" w:cs="Times New Roman"/>
          <w:color w:val="auto"/>
          <w:kern w:val="2"/>
          <w:sz w:val="32"/>
          <w:szCs w:val="24"/>
          <w:lang w:val="en-US" w:eastAsia="zh-CN"/>
        </w:rPr>
        <w:t>行政事业单位养老支出（款）机关事业单位职业年金缴费支出（项）。年初预算</w:t>
      </w:r>
      <w:r>
        <w:rPr>
          <w:rFonts w:hint="eastAsia" w:ascii="仿宋_GB2312" w:hAnsi="仿宋_GB2312" w:eastAsia="仿宋_GB2312" w:cs="Times New Roman"/>
          <w:color w:val="auto"/>
          <w:kern w:val="2"/>
          <w:sz w:val="32"/>
          <w:szCs w:val="24"/>
          <w:u w:val="single"/>
          <w:lang w:val="en-US" w:eastAsia="zh-CN"/>
        </w:rPr>
        <w:t>0.00</w:t>
      </w:r>
      <w:r>
        <w:rPr>
          <w:rFonts w:hint="eastAsia" w:ascii="仿宋_GB2312" w:hAnsi="仿宋_GB2312" w:eastAsia="仿宋_GB2312" w:cs="Times New Roman"/>
          <w:color w:val="auto"/>
          <w:kern w:val="2"/>
          <w:sz w:val="32"/>
          <w:szCs w:val="24"/>
          <w:lang w:val="en-US" w:eastAsia="zh-CN"/>
        </w:rPr>
        <w:t>万元，决算支出</w:t>
      </w:r>
      <w:r>
        <w:rPr>
          <w:rFonts w:hint="eastAsia" w:ascii="仿宋_GB2312" w:hAnsi="仿宋_GB2312" w:eastAsia="仿宋_GB2312" w:cs="Times New Roman"/>
          <w:color w:val="auto"/>
          <w:kern w:val="2"/>
          <w:sz w:val="32"/>
          <w:szCs w:val="24"/>
          <w:u w:val="single"/>
          <w:lang w:val="en-US" w:eastAsia="zh-CN"/>
        </w:rPr>
        <w:t>52.22</w:t>
      </w:r>
      <w:r>
        <w:rPr>
          <w:rFonts w:hint="eastAsia" w:ascii="仿宋_GB2312" w:hAnsi="仿宋_GB2312" w:eastAsia="仿宋_GB2312" w:cs="Times New Roman"/>
          <w:color w:val="auto"/>
          <w:kern w:val="2"/>
          <w:sz w:val="32"/>
          <w:szCs w:val="24"/>
          <w:lang w:val="en-US" w:eastAsia="zh-CN"/>
        </w:rPr>
        <w:t>万元。决算数与年初预算数的差异原因：2024年追加职业年金做实资金。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default"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en-US" w:eastAsia="zh-CN"/>
        </w:rPr>
        <w:t>其他社会保障和就业支出（款）其他社会保障和就业支出（项）。年初预算</w:t>
      </w:r>
      <w:r>
        <w:rPr>
          <w:rFonts w:hint="eastAsia" w:ascii="仿宋_GB2312" w:hAnsi="仿宋_GB2312" w:eastAsia="仿宋_GB2312" w:cs="Times New Roman"/>
          <w:color w:val="auto"/>
          <w:kern w:val="2"/>
          <w:sz w:val="32"/>
          <w:szCs w:val="24"/>
          <w:u w:val="single"/>
          <w:lang w:val="en-US" w:eastAsia="zh-CN"/>
        </w:rPr>
        <w:t>3.95</w:t>
      </w:r>
      <w:r>
        <w:rPr>
          <w:rFonts w:hint="eastAsia" w:ascii="仿宋_GB2312" w:hAnsi="仿宋_GB2312" w:eastAsia="仿宋_GB2312" w:cs="Times New Roman"/>
          <w:color w:val="auto"/>
          <w:kern w:val="2"/>
          <w:sz w:val="32"/>
          <w:szCs w:val="24"/>
          <w:lang w:val="en-US" w:eastAsia="zh-CN"/>
        </w:rPr>
        <w:t>万元，决算支出</w:t>
      </w:r>
      <w:r>
        <w:rPr>
          <w:rFonts w:hint="eastAsia" w:ascii="仿宋_GB2312" w:hAnsi="仿宋_GB2312" w:eastAsia="仿宋_GB2312" w:cs="Times New Roman"/>
          <w:color w:val="auto"/>
          <w:kern w:val="2"/>
          <w:sz w:val="32"/>
          <w:szCs w:val="24"/>
          <w:u w:val="single"/>
          <w:lang w:val="en-US" w:eastAsia="zh-CN"/>
        </w:rPr>
        <w:t>3.26</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82.53</w:t>
      </w:r>
      <w:r>
        <w:rPr>
          <w:rFonts w:hint="eastAsia" w:ascii="仿宋_GB2312" w:hAnsi="仿宋_GB2312" w:eastAsia="仿宋_GB2312" w:cs="Times New Roman"/>
          <w:color w:val="auto"/>
          <w:kern w:val="2"/>
          <w:sz w:val="32"/>
          <w:szCs w:val="24"/>
          <w:lang w:val="en-US" w:eastAsia="zh-CN"/>
        </w:rPr>
        <w:t>%。决算数与年初预算数的差异原因：职工退休，本年在职人员减少，其他社会保障和就业支出减少。</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w:t>
      </w:r>
      <w:r>
        <w:rPr>
          <w:rFonts w:hint="eastAsia" w:ascii="楷体_GB2312" w:hAnsi="楷体_GB2312" w:eastAsia="楷体_GB2312" w:cs="楷体_GB2312"/>
          <w:b/>
          <w:bCs/>
          <w:color w:val="000000"/>
          <w:kern w:val="0"/>
          <w:sz w:val="32"/>
          <w:szCs w:val="32"/>
        </w:rPr>
        <w:t xml:space="preserve"> （</w:t>
      </w:r>
      <w:r>
        <w:rPr>
          <w:rFonts w:hint="eastAsia" w:ascii="楷体_GB2312" w:hAnsi="楷体_GB2312" w:eastAsia="楷体_GB2312" w:cs="楷体_GB2312"/>
          <w:b/>
          <w:bCs/>
          <w:color w:val="000000"/>
          <w:kern w:val="0"/>
          <w:sz w:val="32"/>
          <w:szCs w:val="32"/>
          <w:lang w:val="en-US" w:eastAsia="zh-CN"/>
        </w:rPr>
        <w:t>三</w:t>
      </w:r>
      <w:r>
        <w:rPr>
          <w:rFonts w:hint="eastAsia" w:ascii="楷体_GB2312" w:hAnsi="楷体_GB2312" w:eastAsia="楷体_GB2312" w:cs="楷体_GB2312"/>
          <w:b/>
          <w:bCs/>
          <w:color w:val="000000"/>
          <w:kern w:val="0"/>
          <w:sz w:val="32"/>
          <w:szCs w:val="32"/>
        </w:rPr>
        <w:t>）卫生健康支出（类）</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卫生健康支出（类）决算数为</w:t>
      </w:r>
      <w:r>
        <w:rPr>
          <w:rFonts w:hint="eastAsia" w:ascii="仿宋_GB2312" w:hAnsi="仿宋_GB2312" w:eastAsia="仿宋_GB2312" w:cs="仿宋_GB2312"/>
          <w:color w:val="000000"/>
          <w:kern w:val="0"/>
          <w:sz w:val="32"/>
          <w:szCs w:val="32"/>
          <w:u w:val="single" w:color="000000"/>
        </w:rPr>
        <w:t> 120.10</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1.54</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32"/>
          <w:lang w:val="en-US" w:eastAsia="zh-CN"/>
        </w:rPr>
      </w:pPr>
      <w:r>
        <w:rPr>
          <w:rFonts w:ascii="Calibri" w:hAnsi="Calibri" w:eastAsia="Calibri" w:cs="Calibri"/>
          <w:color w:val="000000"/>
          <w:kern w:val="0"/>
          <w:sz w:val="27"/>
          <w:szCs w:val="27"/>
        </w:rPr>
        <w:t> </w:t>
      </w:r>
      <w:r>
        <w:rPr>
          <w:rFonts w:hint="eastAsia" w:ascii="仿宋_GB2312" w:hAnsi="仿宋_GB2312" w:eastAsia="仿宋_GB2312" w:cs="Times New Roman"/>
          <w:color w:val="auto"/>
          <w:kern w:val="2"/>
          <w:sz w:val="32"/>
          <w:szCs w:val="32"/>
          <w:lang w:val="en-US" w:eastAsia="zh-CN"/>
        </w:rPr>
        <w:t>1．行政事业单位医疗（款）行政单位医疗（项）。年初预算</w:t>
      </w:r>
      <w:r>
        <w:rPr>
          <w:rFonts w:hint="eastAsia" w:ascii="仿宋_GB2312" w:hAnsi="仿宋_GB2312" w:eastAsia="仿宋_GB2312" w:cs="Times New Roman"/>
          <w:color w:val="auto"/>
          <w:kern w:val="2"/>
          <w:sz w:val="32"/>
          <w:szCs w:val="32"/>
          <w:u w:val="single"/>
          <w:lang w:val="en-US" w:eastAsia="zh-CN"/>
        </w:rPr>
        <w:t>121.64</w:t>
      </w:r>
      <w:r>
        <w:rPr>
          <w:rFonts w:hint="eastAsia" w:ascii="仿宋_GB2312" w:hAnsi="仿宋_GB2312" w:eastAsia="仿宋_GB2312" w:cs="Times New Roman"/>
          <w:color w:val="auto"/>
          <w:kern w:val="2"/>
          <w:sz w:val="32"/>
          <w:szCs w:val="32"/>
          <w:lang w:val="en-US" w:eastAsia="zh-CN"/>
        </w:rPr>
        <w:t>万元，支出决算</w:t>
      </w:r>
      <w:r>
        <w:rPr>
          <w:rFonts w:hint="eastAsia" w:ascii="仿宋_GB2312" w:hAnsi="仿宋_GB2312" w:eastAsia="仿宋_GB2312" w:cs="Times New Roman"/>
          <w:color w:val="auto"/>
          <w:kern w:val="2"/>
          <w:sz w:val="32"/>
          <w:szCs w:val="32"/>
          <w:u w:val="single"/>
          <w:lang w:val="en-US" w:eastAsia="zh-CN"/>
        </w:rPr>
        <w:t>115.71</w:t>
      </w:r>
      <w:r>
        <w:rPr>
          <w:rFonts w:hint="eastAsia" w:ascii="仿宋_GB2312" w:hAnsi="仿宋_GB2312" w:eastAsia="仿宋_GB2312" w:cs="Times New Roman"/>
          <w:color w:val="auto"/>
          <w:kern w:val="2"/>
          <w:sz w:val="32"/>
          <w:szCs w:val="32"/>
          <w:lang w:val="en-US" w:eastAsia="zh-CN"/>
        </w:rPr>
        <w:t>万元，完成年初预算的</w:t>
      </w:r>
      <w:r>
        <w:rPr>
          <w:rFonts w:hint="eastAsia" w:ascii="仿宋_GB2312" w:hAnsi="仿宋_GB2312" w:eastAsia="仿宋_GB2312" w:cs="Times New Roman"/>
          <w:color w:val="auto"/>
          <w:kern w:val="2"/>
          <w:sz w:val="32"/>
          <w:szCs w:val="32"/>
          <w:u w:val="single"/>
          <w:lang w:val="en-US" w:eastAsia="zh-CN"/>
        </w:rPr>
        <w:t>95.12</w:t>
      </w:r>
      <w:r>
        <w:rPr>
          <w:rFonts w:hint="eastAsia" w:ascii="仿宋_GB2312" w:hAnsi="仿宋_GB2312" w:eastAsia="仿宋_GB2312" w:cs="Times New Roman"/>
          <w:color w:val="auto"/>
          <w:kern w:val="2"/>
          <w:sz w:val="32"/>
          <w:szCs w:val="32"/>
          <w:lang w:val="en-US" w:eastAsia="zh-CN"/>
        </w:rPr>
        <w:t>%。决算数与年初预算数的差异原因：此项目本年已全部执行。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2．行政事业单位医疗（款）公务员医疗补助（项）。年初预算</w:t>
      </w:r>
      <w:r>
        <w:rPr>
          <w:rFonts w:hint="eastAsia" w:ascii="仿宋_GB2312" w:hAnsi="仿宋_GB2312" w:eastAsia="仿宋_GB2312" w:cs="Times New Roman"/>
          <w:color w:val="auto"/>
          <w:kern w:val="2"/>
          <w:sz w:val="32"/>
          <w:szCs w:val="32"/>
          <w:u w:val="single"/>
          <w:lang w:val="en-US" w:eastAsia="zh-CN"/>
        </w:rPr>
        <w:t>0.00</w:t>
      </w:r>
      <w:r>
        <w:rPr>
          <w:rFonts w:hint="eastAsia" w:ascii="仿宋_GB2312" w:hAnsi="仿宋_GB2312" w:eastAsia="仿宋_GB2312" w:cs="Times New Roman"/>
          <w:color w:val="auto"/>
          <w:kern w:val="2"/>
          <w:sz w:val="32"/>
          <w:szCs w:val="32"/>
          <w:lang w:val="en-US" w:eastAsia="zh-CN"/>
        </w:rPr>
        <w:t>万元，支出决算</w:t>
      </w:r>
      <w:r>
        <w:rPr>
          <w:rFonts w:hint="eastAsia" w:ascii="仿宋_GB2312" w:hAnsi="仿宋_GB2312" w:eastAsia="仿宋_GB2312" w:cs="Times New Roman"/>
          <w:color w:val="auto"/>
          <w:kern w:val="2"/>
          <w:sz w:val="32"/>
          <w:szCs w:val="32"/>
          <w:u w:val="single"/>
          <w:lang w:val="en-US" w:eastAsia="zh-CN"/>
        </w:rPr>
        <w:t>4.4</w:t>
      </w:r>
      <w:r>
        <w:rPr>
          <w:rFonts w:hint="eastAsia" w:ascii="仿宋_GB2312" w:hAnsi="仿宋_GB2312" w:eastAsia="仿宋_GB2312" w:cs="Times New Roman"/>
          <w:color w:val="auto"/>
          <w:kern w:val="2"/>
          <w:sz w:val="32"/>
          <w:szCs w:val="32"/>
          <w:lang w:val="en-US" w:eastAsia="zh-CN"/>
        </w:rPr>
        <w:t>万元。决算数与年初预算数的差异原因：本年度追加一月份职工公务员医疗补助。</w:t>
      </w:r>
    </w:p>
    <w:p>
      <w:pPr>
        <w:keepNext w:val="0"/>
        <w:keepLines w:val="0"/>
        <w:pageBreakBefore w:val="0"/>
        <w:tabs>
          <w:tab w:val="left" w:pos="4275"/>
        </w:tabs>
        <w:kinsoku/>
        <w:wordWrap/>
        <w:overflowPunct/>
        <w:topLinePunct w:val="0"/>
        <w:autoSpaceDE/>
        <w:autoSpaceDN/>
        <w:bidi w:val="0"/>
        <w:adjustRightInd/>
        <w:snapToGrid/>
        <w:spacing w:beforeLines="0" w:afterLines="0" w:line="560" w:lineRule="exact"/>
        <w:ind w:firstLine="321" w:firstLineChars="100"/>
        <w:jc w:val="both"/>
        <w:textAlignment w:val="auto"/>
        <w:rPr>
          <w:rFonts w:hint="eastAsia" w:ascii="楷体_GB2312" w:hAnsi="楷体_GB2312" w:eastAsia="楷体_GB2312" w:cs="楷体_GB2312"/>
          <w:b/>
          <w:color w:val="auto"/>
          <w:kern w:val="2"/>
          <w:sz w:val="32"/>
          <w:szCs w:val="24"/>
        </w:rPr>
      </w:pPr>
      <w:r>
        <w:rPr>
          <w:rFonts w:hint="eastAsia" w:ascii="楷体_GB2312" w:hAnsi="楷体_GB2312" w:eastAsia="楷体_GB2312" w:cs="楷体_GB2312"/>
          <w:b/>
          <w:color w:val="auto"/>
          <w:kern w:val="2"/>
          <w:sz w:val="32"/>
          <w:szCs w:val="24"/>
        </w:rPr>
        <w:t>（</w:t>
      </w:r>
      <w:r>
        <w:rPr>
          <w:rFonts w:hint="eastAsia" w:ascii="楷体_GB2312" w:hAnsi="楷体_GB2312" w:eastAsia="楷体_GB2312" w:cs="楷体_GB2312"/>
          <w:b/>
          <w:color w:val="auto"/>
          <w:kern w:val="2"/>
          <w:sz w:val="32"/>
          <w:szCs w:val="24"/>
          <w:lang w:val="en-US" w:eastAsia="zh-CN"/>
        </w:rPr>
        <w:t>四</w:t>
      </w:r>
      <w:r>
        <w:rPr>
          <w:rFonts w:hint="eastAsia" w:ascii="楷体_GB2312" w:hAnsi="楷体_GB2312" w:eastAsia="楷体_GB2312" w:cs="楷体_GB2312"/>
          <w:b/>
          <w:color w:val="auto"/>
          <w:kern w:val="2"/>
          <w:sz w:val="32"/>
          <w:szCs w:val="24"/>
        </w:rPr>
        <w:t>）</w:t>
      </w:r>
      <w:r>
        <w:rPr>
          <w:rFonts w:hint="eastAsia" w:ascii="楷体_GB2312" w:hAnsi="楷体_GB2312" w:eastAsia="楷体_GB2312" w:cs="楷体_GB2312"/>
          <w:b/>
          <w:color w:val="auto"/>
          <w:kern w:val="2"/>
          <w:sz w:val="32"/>
          <w:szCs w:val="24"/>
          <w:lang w:val="en-US" w:eastAsia="zh-CN"/>
        </w:rPr>
        <w:t>农林水支出</w:t>
      </w:r>
      <w:r>
        <w:rPr>
          <w:rFonts w:hint="eastAsia" w:ascii="楷体_GB2312" w:hAnsi="楷体_GB2312" w:eastAsia="楷体_GB2312" w:cs="楷体_GB2312"/>
          <w:b/>
          <w:color w:val="auto"/>
          <w:kern w:val="2"/>
          <w:sz w:val="32"/>
          <w:szCs w:val="24"/>
        </w:rPr>
        <w:t>（类）</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0"/>
          <w:sz w:val="32"/>
          <w:szCs w:val="32"/>
          <w:lang w:val="en-US" w:eastAsia="zh-CN"/>
        </w:rPr>
        <w:t>农林水</w:t>
      </w:r>
      <w:r>
        <w:rPr>
          <w:rFonts w:hint="eastAsia" w:ascii="仿宋_GB2312" w:hAnsi="仿宋_GB2312" w:eastAsia="仿宋_GB2312" w:cs="仿宋_GB2312"/>
          <w:color w:val="auto"/>
          <w:kern w:val="2"/>
          <w:sz w:val="32"/>
          <w:szCs w:val="32"/>
        </w:rPr>
        <w:t>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auto"/>
          <w:kern w:val="2"/>
          <w:sz w:val="32"/>
          <w:szCs w:val="32"/>
        </w:rPr>
        <w:t xml:space="preserve">决算数为 </w:t>
      </w:r>
      <w:r>
        <w:rPr>
          <w:rFonts w:hint="eastAsia" w:ascii="仿宋_GB2312" w:hAnsi="仿宋_GB2312" w:eastAsia="仿宋_GB2312" w:cs="仿宋_GB2312"/>
          <w:color w:val="auto"/>
          <w:kern w:val="2"/>
          <w:sz w:val="32"/>
          <w:szCs w:val="32"/>
          <w:u w:val="single"/>
          <w:lang w:val="en-US" w:eastAsia="zh-CN"/>
        </w:rPr>
        <w:t>7.06</w:t>
      </w:r>
      <w:r>
        <w:rPr>
          <w:rFonts w:hint="eastAsia" w:ascii="仿宋_GB2312" w:hAnsi="仿宋_GB2312" w:eastAsia="仿宋_GB2312" w:cs="仿宋_GB2312"/>
          <w:color w:val="auto"/>
          <w:kern w:val="2"/>
          <w:sz w:val="32"/>
          <w:szCs w:val="32"/>
        </w:rPr>
        <w:t>万元，与年初预算相比增加</w:t>
      </w:r>
      <w:r>
        <w:rPr>
          <w:rFonts w:hint="eastAsia" w:ascii="仿宋_GB2312" w:hAnsi="仿宋_GB2312" w:eastAsia="仿宋_GB2312" w:cs="仿宋_GB2312"/>
          <w:color w:val="auto"/>
          <w:kern w:val="2"/>
          <w:sz w:val="32"/>
          <w:szCs w:val="32"/>
          <w:u w:val="single"/>
          <w:lang w:val="en-US" w:eastAsia="zh-CN"/>
        </w:rPr>
        <w:t>6.14</w:t>
      </w:r>
      <w:r>
        <w:rPr>
          <w:rFonts w:hint="eastAsia" w:ascii="仿宋_GB2312" w:hAnsi="仿宋_GB2312" w:eastAsia="仿宋_GB2312" w:cs="仿宋_GB2312"/>
          <w:color w:val="auto"/>
          <w:kern w:val="2"/>
          <w:sz w:val="32"/>
          <w:szCs w:val="32"/>
        </w:rPr>
        <w:t>万元。其中：</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1.巩固拓展脱贫攻坚成果衔接乡村振兴</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val="en-US" w:eastAsia="zh-CN"/>
        </w:rPr>
        <w:t>其他巩固拓展</w:t>
      </w:r>
      <w:bookmarkStart w:id="1" w:name="_GoBack"/>
      <w:bookmarkEnd w:id="1"/>
      <w:r>
        <w:rPr>
          <w:rFonts w:hint="eastAsia" w:ascii="仿宋_GB2312" w:hAnsi="仿宋_GB2312" w:eastAsia="仿宋_GB2312" w:cs="仿宋_GB2312"/>
          <w:color w:val="auto"/>
          <w:kern w:val="2"/>
          <w:sz w:val="32"/>
          <w:szCs w:val="32"/>
          <w:lang w:val="en-US" w:eastAsia="zh-CN"/>
        </w:rPr>
        <w:t>脱贫攻坚成果衔接乡村振兴支出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u w:val="single"/>
          <w:lang w:val="en-US" w:eastAsia="zh-CN"/>
        </w:rPr>
        <w:t>0.92</w:t>
      </w:r>
      <w:r>
        <w:rPr>
          <w:rFonts w:hint="eastAsia" w:ascii="仿宋_GB2312" w:hAnsi="仿宋_GB2312" w:eastAsia="仿宋_GB2312" w:cs="仿宋_GB2312"/>
          <w:color w:val="auto"/>
          <w:kern w:val="2"/>
          <w:sz w:val="32"/>
          <w:szCs w:val="32"/>
        </w:rPr>
        <w:t>万元，决算</w:t>
      </w:r>
      <w:r>
        <w:rPr>
          <w:rFonts w:hint="eastAsia" w:ascii="仿宋_GB2312" w:hAnsi="仿宋_GB2312" w:eastAsia="仿宋_GB2312" w:cs="仿宋_GB2312"/>
          <w:color w:val="auto"/>
          <w:kern w:val="2"/>
          <w:sz w:val="32"/>
          <w:szCs w:val="32"/>
          <w:lang w:val="en-US" w:eastAsia="zh-CN"/>
        </w:rPr>
        <w:t>支出</w:t>
      </w:r>
      <w:r>
        <w:rPr>
          <w:rFonts w:hint="eastAsia" w:ascii="仿宋_GB2312" w:hAnsi="仿宋_GB2312" w:eastAsia="仿宋_GB2312" w:cs="仿宋_GB2312"/>
          <w:color w:val="auto"/>
          <w:kern w:val="2"/>
          <w:sz w:val="32"/>
          <w:szCs w:val="32"/>
          <w:u w:val="single"/>
          <w:lang w:val="en-US" w:eastAsia="zh-CN"/>
        </w:rPr>
        <w:t>7.06</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u w:val="single"/>
          <w:lang w:val="en-US" w:eastAsia="zh-CN"/>
        </w:rPr>
        <w:t>767.39</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val="en-US" w:eastAsia="zh-CN"/>
        </w:rPr>
        <w:t>2024年驻村人员工作补助年中下达，本年已全部执行。</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（五）住房保障支出（类）</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住房保障支出（类）决算数为</w:t>
      </w:r>
      <w:r>
        <w:rPr>
          <w:rFonts w:hint="eastAsia" w:ascii="仿宋_GB2312" w:hAnsi="仿宋_GB2312" w:eastAsia="仿宋_GB2312" w:cs="仿宋_GB2312"/>
          <w:color w:val="000000"/>
          <w:kern w:val="0"/>
          <w:sz w:val="32"/>
          <w:szCs w:val="32"/>
          <w:u w:val="single" w:color="000000"/>
        </w:rPr>
        <w:t> 171.01</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33.90</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hint="eastAsia" w:ascii="仿宋_GB2312" w:hAnsi="仿宋_GB2312" w:eastAsia="仿宋_GB2312" w:cs="仿宋_GB2312"/>
          <w:color w:val="auto"/>
          <w:kern w:val="2"/>
          <w:sz w:val="32"/>
          <w:szCs w:val="32"/>
        </w:rPr>
        <w:t>1．住房改革支出（款）住房公积金（项）。年初预算</w:t>
      </w:r>
      <w:r>
        <w:rPr>
          <w:rFonts w:hint="eastAsia" w:ascii="仿宋_GB2312" w:hAnsi="仿宋_GB2312" w:eastAsia="仿宋_GB2312" w:cs="仿宋_GB2312"/>
          <w:color w:val="auto"/>
          <w:kern w:val="2"/>
          <w:sz w:val="32"/>
          <w:szCs w:val="32"/>
          <w:u w:val="single"/>
          <w:lang w:val="en-US" w:eastAsia="zh-CN"/>
        </w:rPr>
        <w:t>204.90</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u w:val="single"/>
          <w:lang w:val="en-US" w:eastAsia="zh-CN"/>
        </w:rPr>
        <w:t>171.01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u w:val="single"/>
          <w:lang w:val="en-US" w:eastAsia="zh-CN"/>
        </w:rPr>
        <w:t>83.46</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Times New Roman"/>
          <w:color w:val="auto"/>
          <w:kern w:val="2"/>
          <w:sz w:val="32"/>
          <w:szCs w:val="24"/>
          <w:lang w:val="en-US" w:eastAsia="zh-CN"/>
        </w:rPr>
        <w:t>职工退休，本年在职人员减少，</w:t>
      </w:r>
      <w:r>
        <w:rPr>
          <w:rFonts w:hint="eastAsia" w:ascii="仿宋_GB2312" w:hAnsi="仿宋_GB2312" w:eastAsia="仿宋_GB2312" w:cs="仿宋_GB2312"/>
          <w:color w:val="auto"/>
          <w:kern w:val="2"/>
          <w:sz w:val="32"/>
          <w:szCs w:val="32"/>
        </w:rPr>
        <w:t>住房公积金</w:t>
      </w:r>
      <w:r>
        <w:rPr>
          <w:rFonts w:hint="eastAsia" w:ascii="仿宋_GB2312" w:hAnsi="仿宋_GB2312" w:eastAsia="仿宋_GB2312" w:cs="Times New Roman"/>
          <w:color w:val="auto"/>
          <w:kern w:val="2"/>
          <w:sz w:val="32"/>
          <w:szCs w:val="24"/>
          <w:lang w:val="en-US" w:eastAsia="zh-CN"/>
        </w:rPr>
        <w:t>支出减少</w:t>
      </w:r>
      <w:r>
        <w:rPr>
          <w:rFonts w:hint="eastAsia" w:ascii="仿宋_GB2312" w:hAnsi="仿宋_GB2312" w:eastAsia="仿宋_GB2312" w:cs="仿宋_GB2312"/>
          <w:color w:val="auto"/>
          <w:kern w:val="2"/>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2024年度一般公共预算财政拨款基本支出决算</w:t>
      </w:r>
      <w:r>
        <w:rPr>
          <w:rFonts w:hint="eastAsia" w:ascii="仿宋_GB2312" w:hAnsi="仿宋_GB2312" w:eastAsia="仿宋_GB2312" w:cs="仿宋_GB2312"/>
          <w:color w:val="000000"/>
          <w:kern w:val="0"/>
          <w:sz w:val="32"/>
          <w:szCs w:val="32"/>
          <w:u w:val="single" w:color="000000"/>
        </w:rPr>
        <w:t> 2</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774.87</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（一）人员经费</w:t>
      </w:r>
      <w:r>
        <w:rPr>
          <w:rFonts w:hint="eastAsia" w:ascii="仿宋_GB2312" w:hAnsi="仿宋_GB2312" w:eastAsia="仿宋_GB2312" w:cs="仿宋_GB2312"/>
          <w:color w:val="auto"/>
          <w:kern w:val="2"/>
          <w:sz w:val="32"/>
          <w:szCs w:val="32"/>
          <w:lang w:val="en-US" w:eastAsia="zh-CN"/>
        </w:rPr>
        <w:t> </w:t>
      </w:r>
      <w:r>
        <w:rPr>
          <w:rFonts w:hint="eastAsia" w:ascii="仿宋_GB2312" w:hAnsi="仿宋_GB2312" w:eastAsia="仿宋_GB2312" w:cs="仿宋_GB2312"/>
          <w:color w:val="auto"/>
          <w:kern w:val="2"/>
          <w:sz w:val="32"/>
          <w:szCs w:val="32"/>
          <w:u w:val="single"/>
          <w:lang w:val="en-US" w:eastAsia="zh-CN"/>
        </w:rPr>
        <w:t>2,287.15</w:t>
      </w:r>
      <w:r>
        <w:rPr>
          <w:rFonts w:hint="eastAsia" w:ascii="仿宋_GB2312" w:hAnsi="仿宋_GB2312" w:eastAsia="仿宋_GB2312" w:cs="仿宋_GB2312"/>
          <w:color w:val="auto"/>
          <w:kern w:val="2"/>
          <w:sz w:val="32"/>
          <w:szCs w:val="32"/>
          <w:lang w:val="en-US" w:eastAsia="zh-CN"/>
        </w:rPr>
        <w:t>万元。主要包括：基本工资、津贴补贴、奖金、机关事业单位基本养老保险缴费、职业年金缴费、职工基本医疗保险缴费、公务员医疗补助缴费、住房公积金、其他工资福利支出、离休费、退休费、生活补助。</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（二）公用经费</w:t>
      </w:r>
      <w:r>
        <w:rPr>
          <w:rFonts w:hint="eastAsia" w:ascii="仿宋_GB2312" w:hAnsi="仿宋_GB2312" w:eastAsia="仿宋_GB2312" w:cs="仿宋_GB2312"/>
          <w:color w:val="auto"/>
          <w:kern w:val="2"/>
          <w:sz w:val="32"/>
          <w:szCs w:val="32"/>
          <w:lang w:val="en-US" w:eastAsia="zh-CN"/>
        </w:rPr>
        <w:t> </w:t>
      </w:r>
      <w:r>
        <w:rPr>
          <w:rFonts w:hint="eastAsia" w:ascii="仿宋_GB2312" w:hAnsi="仿宋_GB2312" w:eastAsia="仿宋_GB2312" w:cs="仿宋_GB2312"/>
          <w:color w:val="auto"/>
          <w:kern w:val="2"/>
          <w:sz w:val="32"/>
          <w:szCs w:val="32"/>
          <w:u w:val="single"/>
          <w:lang w:val="en-US" w:eastAsia="zh-CN"/>
        </w:rPr>
        <w:t>487.72</w:t>
      </w:r>
      <w:r>
        <w:rPr>
          <w:rFonts w:hint="eastAsia" w:ascii="仿宋_GB2312" w:hAnsi="仿宋_GB2312" w:eastAsia="仿宋_GB2312" w:cs="仿宋_GB2312"/>
          <w:color w:val="auto"/>
          <w:kern w:val="2"/>
          <w:sz w:val="32"/>
          <w:szCs w:val="32"/>
          <w:lang w:val="en-US" w:eastAsia="zh-CN"/>
        </w:rPr>
        <w:t>万元。主要包括：办公费、手续费、水费、电费、邮电费、取暖费、物业管理费、差旅费、维修（护）费、租赁费、公务接待费、劳务费、福利费、公务用车运行维护费、其他交通费用、其他商品和服务支出、办公设备购置等。</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赤峰市市场监督管理局（本级） 2024年度一般公共预算财政拨款项目支出决算</w:t>
      </w:r>
      <w:r>
        <w:rPr>
          <w:rFonts w:hint="eastAsia" w:ascii="仿宋_GB2312" w:hAnsi="仿宋_GB2312" w:eastAsia="仿宋_GB2312" w:cs="仿宋_GB2312"/>
          <w:color w:val="000000"/>
          <w:kern w:val="0"/>
          <w:sz w:val="32"/>
          <w:szCs w:val="32"/>
          <w:u w:val="single" w:color="000000"/>
        </w:rPr>
        <w:t xml:space="preserve"> 571.83</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b/>
          <w:bCs/>
          <w:color w:val="000000"/>
          <w:kern w:val="0"/>
          <w:sz w:val="27"/>
          <w:szCs w:val="27"/>
        </w:rPr>
        <w:t> </w:t>
      </w:r>
      <w:r>
        <w:rPr>
          <w:rFonts w:ascii="仿宋_GB2312" w:hAnsi="仿宋_GB2312" w:eastAsia="仿宋_GB2312" w:cs="仿宋_GB2312"/>
          <w:b/>
          <w:bCs/>
          <w:color w:val="000000"/>
          <w:kern w:val="0"/>
          <w:sz w:val="27"/>
          <w:szCs w:val="27"/>
        </w:rPr>
        <w:t xml:space="preserve"> </w:t>
      </w:r>
      <w:r>
        <w:rPr>
          <w:rFonts w:hint="eastAsia" w:ascii="仿宋_GB2312" w:hAnsi="仿宋_GB2312" w:eastAsia="仿宋_GB2312" w:cs="仿宋_GB2312"/>
          <w:b/>
          <w:bCs/>
          <w:color w:val="000000"/>
          <w:kern w:val="0"/>
          <w:sz w:val="32"/>
          <w:szCs w:val="32"/>
        </w:rPr>
        <w:t>  （一）工资福利支出</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rPr>
        <w:t>0</w:t>
      </w:r>
      <w:r>
        <w:rPr>
          <w:rFonts w:hint="eastAsia" w:ascii="仿宋_GB2312" w:hAnsi="仿宋_GB2312" w:eastAsia="仿宋_GB2312" w:cs="仿宋_GB2312"/>
          <w:color w:val="000000"/>
          <w:kern w:val="0"/>
          <w:sz w:val="32"/>
          <w:szCs w:val="32"/>
        </w:rPr>
        <w:t>万元。</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b/>
          <w:bCs/>
          <w:color w:val="000000"/>
          <w:kern w:val="0"/>
          <w:sz w:val="27"/>
          <w:szCs w:val="27"/>
        </w:rPr>
        <w:t> </w:t>
      </w:r>
      <w:r>
        <w:rPr>
          <w:rFonts w:ascii="仿宋_GB2312" w:hAnsi="仿宋_GB2312" w:eastAsia="仿宋_GB2312" w:cs="仿宋_GB2312"/>
          <w:b/>
          <w:bCs/>
          <w:color w:val="000000"/>
          <w:kern w:val="0"/>
          <w:sz w:val="27"/>
          <w:szCs w:val="27"/>
        </w:rPr>
        <w:t xml:space="preserve"> </w:t>
      </w:r>
      <w:r>
        <w:rPr>
          <w:rFonts w:ascii="Calibri" w:hAnsi="Calibri" w:eastAsia="Calibri" w:cs="Calibri"/>
          <w:b/>
          <w:bCs/>
          <w:color w:val="000000"/>
          <w:kern w:val="0"/>
          <w:sz w:val="27"/>
          <w:szCs w:val="27"/>
        </w:rPr>
        <w:t> </w:t>
      </w:r>
      <w:r>
        <w:rPr>
          <w:rFonts w:hint="eastAsia" w:ascii="仿宋_GB2312" w:hAnsi="仿宋_GB2312" w:eastAsia="仿宋_GB2312" w:cs="仿宋_GB2312"/>
          <w:b/>
          <w:bCs/>
          <w:color w:val="000000"/>
          <w:kern w:val="0"/>
          <w:sz w:val="32"/>
          <w:szCs w:val="32"/>
        </w:rPr>
        <w:t xml:space="preserve"> （二）商品和服务支出</w:t>
      </w:r>
      <w:r>
        <w:rPr>
          <w:rFonts w:hint="eastAsia" w:ascii="仿宋_GB2312" w:hAnsi="仿宋_GB2312" w:eastAsia="仿宋_GB2312" w:cs="仿宋_GB2312"/>
          <w:b/>
          <w:bCs/>
          <w:color w:val="000000"/>
          <w:kern w:val="0"/>
          <w:sz w:val="32"/>
          <w:szCs w:val="32"/>
          <w:u w:val="single" w:color="000000"/>
        </w:rPr>
        <w:t xml:space="preserve"> 497.13</w:t>
      </w:r>
      <w:r>
        <w:rPr>
          <w:rFonts w:hint="eastAsia" w:ascii="仿宋_GB2312" w:hAnsi="仿宋_GB2312" w:eastAsia="仿宋_GB2312" w:cs="仿宋_GB2312"/>
          <w:color w:val="000000"/>
          <w:kern w:val="0"/>
          <w:sz w:val="32"/>
          <w:szCs w:val="32"/>
        </w:rPr>
        <w:t>万元。主要包括：印刷费、咨询费、差旅费、培训费、劳务费、委托业务费、其他商品和服务支出等。</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（三）对企业补助</w:t>
      </w:r>
      <w:r>
        <w:rPr>
          <w:rFonts w:hint="eastAsia" w:ascii="仿宋_GB2312" w:hAnsi="仿宋_GB2312" w:eastAsia="仿宋_GB2312" w:cs="仿宋_GB2312"/>
          <w:b/>
          <w:bCs/>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lang w:val="en-US" w:eastAsia="zh-CN"/>
        </w:rPr>
        <w:t>74.70</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主要包括：其他对企业补助。</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hint="eastAsia" w:ascii="黑体" w:hAnsi="黑体" w:eastAsia="黑体" w:cs="黑体"/>
          <w:kern w:val="0"/>
          <w:sz w:val="32"/>
          <w:szCs w:val="32"/>
        </w:rPr>
      </w:pPr>
      <w:r>
        <w:rPr>
          <w:rFonts w:hint="eastAsia" w:ascii="黑体" w:hAnsi="黑体" w:eastAsia="黑体" w:cs="黑体"/>
          <w:b/>
          <w:bCs/>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（一）财政拨款“三公”经费支出总体情况说明。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2024年度财政拨款“三公”经费全年预算</w:t>
      </w:r>
      <w:r>
        <w:rPr>
          <w:rFonts w:hint="eastAsia" w:ascii="仿宋_GB2312" w:hAnsi="仿宋_GB2312" w:eastAsia="仿宋_GB2312" w:cs="仿宋_GB2312"/>
          <w:color w:val="000000"/>
          <w:kern w:val="0"/>
          <w:sz w:val="32"/>
          <w:szCs w:val="32"/>
          <w:u w:val="single" w:color="000000"/>
        </w:rPr>
        <w:t xml:space="preserve"> 86.00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75.00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87.21</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single" w:color="000000"/>
        </w:rPr>
        <w:t xml:space="preserve"> 80.00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71.56</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89.46</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single" w:color="000000"/>
        </w:rPr>
        <w:t xml:space="preserve"> 6.00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3.44</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57.33</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single" w:color="000000"/>
        </w:rPr>
        <w:t xml:space="preserve"> 86.00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75.00</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lang w:val="en-US" w:eastAsia="zh-CN"/>
        </w:rPr>
        <w:t>响应政府过紧日子号召，严格把控三公经费的使用</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（二）财政拨款“三公”经费支出具体情况说明。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2024年度财政拨款“三公”经费支出</w:t>
      </w:r>
      <w:r>
        <w:rPr>
          <w:rFonts w:hint="eastAsia" w:ascii="仿宋_GB2312" w:hAnsi="仿宋_GB2312" w:eastAsia="仿宋_GB2312" w:cs="仿宋_GB2312"/>
          <w:color w:val="000000"/>
          <w:kern w:val="0"/>
          <w:sz w:val="32"/>
          <w:szCs w:val="32"/>
          <w:u w:val="single" w:color="000000"/>
        </w:rPr>
        <w:t xml:space="preserve"> 75.00</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single" w:color="000000"/>
        </w:rPr>
        <w:t xml:space="preserve"> 71.56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95.41</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single" w:color="000000"/>
        </w:rPr>
        <w:t xml:space="preserve"> 3.44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4.59</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2.公务用车购置及运行维护费支出</w:t>
      </w:r>
      <w:r>
        <w:rPr>
          <w:rFonts w:hint="eastAsia" w:ascii="仿宋_GB2312" w:hAnsi="仿宋_GB2312" w:eastAsia="仿宋_GB2312" w:cs="仿宋_GB2312"/>
          <w:color w:val="000000"/>
          <w:kern w:val="0"/>
          <w:sz w:val="32"/>
          <w:szCs w:val="32"/>
          <w:u w:val="single" w:color="000000"/>
        </w:rPr>
        <w:t xml:space="preserve"> 71.56</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（1）公务用车购置支出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辆，开支内容：</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。与上年决算相比，减少</w:t>
      </w:r>
      <w:r>
        <w:rPr>
          <w:rFonts w:hint="eastAsia" w:ascii="仿宋_GB2312" w:hAnsi="仿宋_GB2312" w:eastAsia="仿宋_GB2312" w:cs="仿宋_GB2312"/>
          <w:color w:val="000000"/>
          <w:kern w:val="0"/>
          <w:sz w:val="32"/>
          <w:szCs w:val="32"/>
          <w:u w:val="single" w:color="000000"/>
        </w:rPr>
        <w:t>37.96</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100.00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本年未购置公务用车</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（2）公务用车运行维护费支出</w:t>
      </w:r>
      <w:r>
        <w:rPr>
          <w:rFonts w:hint="eastAsia" w:ascii="仿宋_GB2312" w:hAnsi="仿宋_GB2312" w:eastAsia="仿宋_GB2312" w:cs="仿宋_GB2312"/>
          <w:color w:val="000000"/>
          <w:kern w:val="0"/>
          <w:sz w:val="32"/>
          <w:szCs w:val="32"/>
          <w:u w:val="single" w:color="000000"/>
        </w:rPr>
        <w:t xml:space="preserve"> 71.56</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万元。公务用车运行维护费主要用于按规定保留的公务用车的燃料费、维修费、过桥过路费、保险费等支出。截至2024年12月31日，使用财政拨款开支的公务用车保有量为</w:t>
      </w:r>
      <w:r>
        <w:rPr>
          <w:rFonts w:hint="eastAsia" w:ascii="仿宋_GB2312" w:hAnsi="仿宋_GB2312" w:eastAsia="仿宋_GB2312" w:cs="仿宋_GB2312"/>
          <w:color w:val="000000"/>
          <w:kern w:val="0"/>
          <w:sz w:val="32"/>
          <w:szCs w:val="32"/>
          <w:u w:val="single" w:color="000000"/>
        </w:rPr>
        <w:t xml:space="preserve">18 </w:t>
      </w:r>
      <w:r>
        <w:rPr>
          <w:rFonts w:hint="eastAsia" w:ascii="仿宋_GB2312" w:hAnsi="仿宋_GB2312" w:eastAsia="仿宋_GB2312" w:cs="仿宋_GB2312"/>
          <w:color w:val="000000"/>
          <w:kern w:val="0"/>
          <w:sz w:val="32"/>
          <w:szCs w:val="32"/>
        </w:rPr>
        <w:t>辆。与上年决算相比，减少</w:t>
      </w:r>
      <w:r>
        <w:rPr>
          <w:rFonts w:hint="eastAsia" w:ascii="仿宋_GB2312" w:hAnsi="仿宋_GB2312" w:eastAsia="仿宋_GB2312" w:cs="仿宋_GB2312"/>
          <w:color w:val="000000"/>
          <w:kern w:val="0"/>
          <w:sz w:val="32"/>
          <w:szCs w:val="32"/>
          <w:u w:val="single" w:color="000000"/>
        </w:rPr>
        <w:t>0.80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1.11</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lang w:val="en-US" w:eastAsia="zh-CN"/>
        </w:rPr>
        <w:t>响应政府过紧日子号召，严格把控三公经费的使用</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3.公务接待费支出</w:t>
      </w:r>
      <w:r>
        <w:rPr>
          <w:rFonts w:hint="eastAsia" w:ascii="仿宋_GB2312" w:hAnsi="仿宋_GB2312" w:eastAsia="仿宋_GB2312" w:cs="仿宋_GB2312"/>
          <w:color w:val="000000"/>
          <w:kern w:val="0"/>
          <w:sz w:val="32"/>
          <w:szCs w:val="32"/>
          <w:u w:val="single" w:color="000000"/>
        </w:rPr>
        <w:t xml:space="preserve"> 3.44</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single" w:color="000000"/>
        </w:rPr>
        <w:t xml:space="preserve"> 3.44</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47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344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auto"/>
          <w:kern w:val="2"/>
          <w:sz w:val="32"/>
          <w:szCs w:val="32"/>
          <w:lang w:val="en-US" w:eastAsia="zh-CN"/>
        </w:rPr>
        <w:t>上级检查接待</w:t>
      </w:r>
      <w:r>
        <w:rPr>
          <w:rFonts w:hint="eastAsia" w:ascii="仿宋_GB2312" w:hAnsi="仿宋_GB2312" w:eastAsia="仿宋_GB2312" w:cs="仿宋_GB2312"/>
          <w:color w:val="000000"/>
          <w:kern w:val="0"/>
          <w:sz w:val="32"/>
          <w:szCs w:val="32"/>
        </w:rPr>
        <w:t>；国（境）外公务接待支出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。与上年决算相比，减少</w:t>
      </w:r>
      <w:r>
        <w:rPr>
          <w:rFonts w:hint="eastAsia" w:ascii="仿宋_GB2312" w:hAnsi="仿宋_GB2312" w:eastAsia="仿宋_GB2312" w:cs="仿宋_GB2312"/>
          <w:color w:val="000000"/>
          <w:kern w:val="0"/>
          <w:sz w:val="32"/>
          <w:szCs w:val="32"/>
          <w:u w:val="single" w:color="000000"/>
        </w:rPr>
        <w:t>0.41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10.73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lang w:val="en-US" w:eastAsia="zh-CN"/>
        </w:rPr>
        <w:t>响应政府过紧日子号召，严格把控三公经费的使用</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赤峰市市场监督管理局（本级） 2024年度政府性基金预算财政拨款支出决算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%，变动原因：本年无政府性基金预算财政拨款收、支、余。</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赤峰市市场监督管理局（本级） 2024年度国有资本经营预算财政拨款支出决算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%，变动原因：本年无国有资本经营预算财政拨款收、支、余。</w:t>
      </w:r>
    </w:p>
    <w:p>
      <w:pPr>
        <w:keepNext w:val="0"/>
        <w:keepLines w:val="0"/>
        <w:pageBreakBefore w:val="0"/>
        <w:widowControl/>
        <w:kinsoku/>
        <w:wordWrap/>
        <w:overflowPunct/>
        <w:topLinePunct w:val="0"/>
        <w:autoSpaceDE/>
        <w:autoSpaceDN/>
        <w:bidi w:val="0"/>
        <w:adjustRightInd/>
        <w:snapToGrid/>
        <w:spacing w:before="240" w:after="240" w:line="540" w:lineRule="exac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十一、机关运行经费（公用经费）支出决算情况说明</w:t>
      </w:r>
    </w:p>
    <w:p>
      <w:pPr>
        <w:keepNext w:val="0"/>
        <w:keepLines w:val="0"/>
        <w:pageBreakBefore w:val="0"/>
        <w:widowControl/>
        <w:kinsoku/>
        <w:wordWrap/>
        <w:overflowPunct/>
        <w:topLinePunct w:val="0"/>
        <w:autoSpaceDE/>
        <w:autoSpaceDN/>
        <w:bidi w:val="0"/>
        <w:adjustRightInd/>
        <w:snapToGrid/>
        <w:spacing w:before="240" w:after="240" w:line="540" w:lineRule="exact"/>
        <w:textAlignment w:val="auto"/>
        <w:rPr>
          <w:rFonts w:hint="eastAsia" w:ascii="仿宋_GB2312" w:hAnsi="仿宋_GB2312" w:eastAsia="仿宋_GB2312" w:cs="仿宋_GB2312"/>
          <w:kern w:val="0"/>
          <w:sz w:val="32"/>
          <w:szCs w:val="32"/>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赤峰市市场监督管理局（本级） 2024年度公用经费支出决算</w:t>
      </w:r>
      <w:r>
        <w:rPr>
          <w:rFonts w:hint="eastAsia" w:ascii="仿宋_GB2312" w:hAnsi="仿宋_GB2312" w:eastAsia="仿宋_GB2312" w:cs="仿宋_GB2312"/>
          <w:color w:val="000000"/>
          <w:kern w:val="0"/>
          <w:sz w:val="32"/>
          <w:szCs w:val="32"/>
          <w:u w:val="single" w:color="000000"/>
        </w:rPr>
        <w:t xml:space="preserve"> 487.72</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20.31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4.00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响应财政过紧日子号召压减支出</w:t>
      </w:r>
      <w:r>
        <w:rPr>
          <w:rFonts w:hint="eastAsia" w:ascii="仿宋_GB2312" w:hAnsi="仿宋_GB2312" w:eastAsia="仿宋_GB2312" w:cs="仿宋_GB2312"/>
          <w:color w:val="000000"/>
          <w:kern w:val="0"/>
          <w:sz w:val="32"/>
          <w:szCs w:val="32"/>
        </w:rPr>
        <w:t>。其中，机关运行经费支出决算</w:t>
      </w:r>
      <w:r>
        <w:rPr>
          <w:rFonts w:hint="eastAsia" w:ascii="仿宋_GB2312" w:hAnsi="仿宋_GB2312" w:eastAsia="仿宋_GB2312" w:cs="仿宋_GB2312"/>
          <w:color w:val="000000"/>
          <w:kern w:val="0"/>
          <w:sz w:val="32"/>
          <w:szCs w:val="32"/>
          <w:u w:val="single" w:color="000000"/>
        </w:rPr>
        <w:t xml:space="preserve"> 487.72</w:t>
      </w:r>
      <w:r>
        <w:rPr>
          <w:rFonts w:hint="eastAsia" w:ascii="仿宋_GB2312" w:hAnsi="仿宋_GB2312" w:eastAsia="仿宋_GB2312" w:cs="仿宋_GB2312"/>
          <w:color w:val="000000"/>
          <w:kern w:val="0"/>
          <w:sz w:val="32"/>
          <w:szCs w:val="32"/>
        </w:rPr>
        <w:t>万元。比上年决算相比，减少</w:t>
      </w:r>
      <w:r>
        <w:rPr>
          <w:rFonts w:hint="eastAsia" w:ascii="仿宋_GB2312" w:hAnsi="仿宋_GB2312" w:eastAsia="仿宋_GB2312" w:cs="仿宋_GB2312"/>
          <w:color w:val="000000"/>
          <w:kern w:val="0"/>
          <w:sz w:val="32"/>
          <w:szCs w:val="32"/>
          <w:u w:val="single" w:color="000000"/>
        </w:rPr>
        <w:t>20.31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4.00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响应财政过紧日子号召压减支出</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4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2024年度政府采购支出总额</w:t>
      </w:r>
      <w:r>
        <w:rPr>
          <w:rFonts w:hint="eastAsia" w:ascii="仿宋_GB2312" w:hAnsi="仿宋_GB2312" w:eastAsia="仿宋_GB2312" w:cs="仿宋_GB2312"/>
          <w:color w:val="000000"/>
          <w:kern w:val="0"/>
          <w:sz w:val="32"/>
          <w:szCs w:val="32"/>
          <w:u w:val="single" w:color="000000"/>
        </w:rPr>
        <w:t> 274.78</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u w:val="single" w:color="000000"/>
        </w:rPr>
        <w:t> 5.48</w:t>
      </w:r>
      <w:r>
        <w:rPr>
          <w:rFonts w:hint="eastAsia"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u w:val="single" w:color="000000"/>
        </w:rPr>
        <w:t> 269.30</w:t>
      </w:r>
      <w:r>
        <w:rPr>
          <w:rFonts w:hint="eastAsia" w:ascii="仿宋_GB2312" w:hAnsi="仿宋_GB2312" w:eastAsia="仿宋_GB2312" w:cs="仿宋_GB2312"/>
          <w:color w:val="000000"/>
          <w:kern w:val="0"/>
          <w:sz w:val="32"/>
          <w:szCs w:val="32"/>
        </w:rPr>
        <w:t>万元。政府采购授予中小企业合同金额</w:t>
      </w:r>
      <w:r>
        <w:rPr>
          <w:rFonts w:hint="eastAsia" w:ascii="仿宋_GB2312" w:hAnsi="仿宋_GB2312" w:eastAsia="仿宋_GB2312" w:cs="仿宋_GB2312"/>
          <w:color w:val="000000"/>
          <w:kern w:val="0"/>
          <w:sz w:val="32"/>
          <w:szCs w:val="32"/>
          <w:u w:val="single" w:color="000000"/>
        </w:rPr>
        <w:t> 59.30</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single" w:color="000000"/>
          <w:lang w:val="en-US" w:eastAsia="zh-CN"/>
        </w:rPr>
        <w:t>21.58</w:t>
      </w:r>
      <w:r>
        <w:rPr>
          <w:rFonts w:hint="eastAsia"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u w:val="single" w:color="000000"/>
        </w:rPr>
        <w:t>  57.26</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single" w:color="000000"/>
          <w:lang w:val="en-US" w:eastAsia="zh-CN"/>
        </w:rPr>
        <w:t>21.58</w:t>
      </w:r>
      <w:r>
        <w:rPr>
          <w:rFonts w:hint="eastAsia" w:ascii="仿宋_GB2312" w:hAnsi="仿宋_GB2312" w:eastAsia="仿宋_GB2312" w:cs="仿宋_GB2312"/>
          <w:color w:val="000000"/>
          <w:kern w:val="0"/>
          <w:sz w:val="32"/>
          <w:szCs w:val="32"/>
        </w:rPr>
        <w:t>%；货物采购授予中小企业合同金额占货物支出金额的</w:t>
      </w:r>
      <w:r>
        <w:rPr>
          <w:rFonts w:hint="eastAsia" w:ascii="仿宋_GB2312" w:hAnsi="仿宋_GB2312" w:eastAsia="仿宋_GB2312" w:cs="仿宋_GB2312"/>
          <w:color w:val="000000"/>
          <w:kern w:val="0"/>
          <w:sz w:val="32"/>
          <w:szCs w:val="32"/>
          <w:u w:val="single" w:color="000000"/>
          <w:lang w:val="en-US" w:eastAsia="zh-CN"/>
        </w:rPr>
        <w:t>100.00</w:t>
      </w:r>
      <w:r>
        <w:rPr>
          <w:rFonts w:hint="eastAsia" w:ascii="仿宋_GB2312" w:hAnsi="仿宋_GB2312" w:eastAsia="仿宋_GB2312" w:cs="仿宋_GB2312"/>
          <w:color w:val="000000"/>
          <w:kern w:val="0"/>
          <w:sz w:val="32"/>
          <w:szCs w:val="32"/>
        </w:rPr>
        <w:t>%，工程采购授予中小企业合同金额占工程支出金额的</w:t>
      </w:r>
      <w:r>
        <w:rPr>
          <w:rFonts w:hint="eastAsia" w:ascii="仿宋_GB2312" w:hAnsi="仿宋_GB2312" w:eastAsia="仿宋_GB2312" w:cs="仿宋_GB2312"/>
          <w:color w:val="000000"/>
          <w:kern w:val="0"/>
          <w:sz w:val="32"/>
          <w:szCs w:val="32"/>
          <w:u w:val="single" w:color="000000"/>
          <w:lang w:val="en-US" w:eastAsia="zh-CN"/>
        </w:rPr>
        <w:t>0.00</w:t>
      </w:r>
      <w:r>
        <w:rPr>
          <w:rFonts w:hint="eastAsia" w:ascii="仿宋_GB2312" w:hAnsi="仿宋_GB2312" w:eastAsia="仿宋_GB2312" w:cs="仿宋_GB2312"/>
          <w:color w:val="000000"/>
          <w:kern w:val="0"/>
          <w:sz w:val="32"/>
          <w:szCs w:val="32"/>
        </w:rPr>
        <w:t>%，服务采购授予中小企业合同金额占服务支出金额的</w:t>
      </w:r>
      <w:r>
        <w:rPr>
          <w:rFonts w:hint="eastAsia" w:ascii="仿宋_GB2312" w:hAnsi="仿宋_GB2312" w:eastAsia="仿宋_GB2312" w:cs="仿宋_GB2312"/>
          <w:color w:val="000000"/>
          <w:kern w:val="0"/>
          <w:sz w:val="32"/>
          <w:szCs w:val="32"/>
          <w:u w:val="single" w:color="000000"/>
          <w:lang w:val="en-US" w:eastAsia="zh-CN"/>
        </w:rPr>
        <w:t>19.99</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4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截至2024年12月31日，本单位共有车辆</w:t>
      </w:r>
      <w:r>
        <w:rPr>
          <w:rFonts w:hint="eastAsia" w:ascii="仿宋_GB2312" w:hAnsi="仿宋_GB2312" w:eastAsia="仿宋_GB2312" w:cs="仿宋_GB2312"/>
          <w:color w:val="000000"/>
          <w:kern w:val="0"/>
          <w:sz w:val="32"/>
          <w:szCs w:val="32"/>
          <w:u w:val="single" w:color="000000"/>
        </w:rPr>
        <w:t> 18</w:t>
      </w:r>
      <w:r>
        <w:rPr>
          <w:rFonts w:hint="eastAsia" w:ascii="仿宋_GB2312" w:hAnsi="仿宋_GB2312" w:eastAsia="仿宋_GB2312" w:cs="仿宋_GB2312"/>
          <w:color w:val="000000"/>
          <w:kern w:val="0"/>
          <w:sz w:val="32"/>
          <w:szCs w:val="32"/>
        </w:rPr>
        <w:t>辆，其中：副部（省）级及以上领导用车</w:t>
      </w:r>
      <w:r>
        <w:rPr>
          <w:rFonts w:hint="eastAsia" w:ascii="仿宋_GB2312" w:hAnsi="仿宋_GB2312" w:eastAsia="仿宋_GB2312" w:cs="仿宋_GB2312"/>
          <w:color w:val="000000"/>
          <w:kern w:val="0"/>
          <w:sz w:val="32"/>
          <w:szCs w:val="32"/>
          <w:u w:val="single" w:color="000000"/>
        </w:rPr>
        <w:t>0 </w:t>
      </w:r>
      <w:r>
        <w:rPr>
          <w:rFonts w:hint="eastAsia" w:ascii="仿宋_GB2312" w:hAnsi="仿宋_GB2312" w:eastAsia="仿宋_GB2312" w:cs="仿宋_GB2312"/>
          <w:color w:val="000000"/>
          <w:kern w:val="0"/>
          <w:sz w:val="32"/>
          <w:szCs w:val="32"/>
        </w:rPr>
        <w:t>辆、主要负责人用车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辆、机要通信用车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辆、应急保障用车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辆、执法执勤用车</w:t>
      </w:r>
      <w:r>
        <w:rPr>
          <w:rFonts w:hint="eastAsia" w:ascii="仿宋_GB2312" w:hAnsi="仿宋_GB2312" w:eastAsia="仿宋_GB2312" w:cs="仿宋_GB2312"/>
          <w:color w:val="000000"/>
          <w:kern w:val="0"/>
          <w:sz w:val="32"/>
          <w:szCs w:val="32"/>
          <w:u w:val="single" w:color="000000"/>
        </w:rPr>
        <w:t> 17</w:t>
      </w:r>
      <w:r>
        <w:rPr>
          <w:rFonts w:hint="eastAsia" w:ascii="仿宋_GB2312" w:hAnsi="仿宋_GB2312" w:eastAsia="仿宋_GB2312" w:cs="仿宋_GB2312"/>
          <w:color w:val="000000"/>
          <w:kern w:val="0"/>
          <w:sz w:val="32"/>
          <w:szCs w:val="32"/>
        </w:rPr>
        <w:t>辆、特种专业技术用车</w:t>
      </w:r>
      <w:r>
        <w:rPr>
          <w:rFonts w:hint="eastAsia" w:ascii="仿宋_GB2312" w:hAnsi="仿宋_GB2312" w:eastAsia="仿宋_GB2312" w:cs="仿宋_GB2312"/>
          <w:color w:val="000000"/>
          <w:kern w:val="0"/>
          <w:sz w:val="32"/>
          <w:szCs w:val="32"/>
          <w:u w:val="single" w:color="000000"/>
        </w:rPr>
        <w:t> 1</w:t>
      </w:r>
      <w:r>
        <w:rPr>
          <w:rFonts w:hint="eastAsia" w:ascii="仿宋_GB2312" w:hAnsi="仿宋_GB2312" w:eastAsia="仿宋_GB2312" w:cs="仿宋_GB2312"/>
          <w:color w:val="000000"/>
          <w:kern w:val="0"/>
          <w:sz w:val="32"/>
          <w:szCs w:val="32"/>
        </w:rPr>
        <w:t>辆、离退休干部服务用车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辆；单价100万元（含）以上的设备（不含车辆）</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台（套）。</w:t>
      </w:r>
    </w:p>
    <w:p>
      <w:pPr>
        <w:keepNext w:val="0"/>
        <w:keepLines w:val="0"/>
        <w:pageBreakBefore w:val="0"/>
        <w:widowControl/>
        <w:kinsoku/>
        <w:wordWrap/>
        <w:overflowPunct/>
        <w:topLinePunct w:val="0"/>
        <w:autoSpaceDE/>
        <w:autoSpaceDN/>
        <w:bidi w:val="0"/>
        <w:adjustRightInd/>
        <w:snapToGrid/>
        <w:spacing w:before="240" w:after="240" w:line="54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十四、预算绩效情况说明</w:t>
      </w:r>
    </w:p>
    <w:p>
      <w:pPr>
        <w:keepNext w:val="0"/>
        <w:keepLines w:val="0"/>
        <w:pageBreakBefore w:val="0"/>
        <w:widowControl/>
        <w:kinsoku/>
        <w:wordWrap/>
        <w:overflowPunct/>
        <w:topLinePunct w:val="0"/>
        <w:autoSpaceDE/>
        <w:autoSpaceDN/>
        <w:bidi w:val="0"/>
        <w:adjustRightInd/>
        <w:snapToGrid/>
        <w:spacing w:before="240" w:after="240" w:line="540" w:lineRule="exact"/>
        <w:ind w:firstLine="643"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赤峰市市场监督管理局（本级） 根据预算绩效管理要求组织对2024年一般公共预算项目支出全面开展绩效自评，其中一级项目</w:t>
      </w:r>
      <w:r>
        <w:rPr>
          <w:rFonts w:hint="eastAsia" w:ascii="仿宋_GB2312" w:hAnsi="仿宋_GB2312" w:eastAsia="仿宋_GB2312" w:cs="仿宋_GB2312"/>
          <w:color w:val="000000"/>
          <w:kern w:val="0"/>
          <w:sz w:val="32"/>
          <w:szCs w:val="32"/>
          <w:u w:val="single" w:color="000000"/>
          <w:lang w:val="en-US" w:eastAsia="zh-CN"/>
        </w:rPr>
        <w:t>11</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571.83</w:t>
      </w:r>
      <w:r>
        <w:rPr>
          <w:rFonts w:hint="eastAsia" w:ascii="仿宋_GB2312" w:hAnsi="仿宋_GB2312" w:eastAsia="仿宋_GB2312" w:cs="仿宋_GB2312"/>
          <w:color w:val="000000"/>
          <w:kern w:val="0"/>
          <w:sz w:val="32"/>
          <w:szCs w:val="32"/>
        </w:rPr>
        <w:t>万元，占一般公共预算项目支出总额的100%；政府性基金预算项目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个，其中，一级项目</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0.00</w:t>
      </w:r>
      <w:r>
        <w:rPr>
          <w:rFonts w:hint="eastAsia" w:ascii="仿宋_GB2312" w:hAnsi="仿宋_GB2312" w:eastAsia="仿宋_GB2312" w:cs="仿宋_GB2312"/>
          <w:color w:val="000000"/>
          <w:kern w:val="0"/>
          <w:sz w:val="32"/>
          <w:szCs w:val="32"/>
        </w:rPr>
        <w:t>万元，占应纳入绩效自评的政府性基金预算项目支出总额的100%。</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本单位不涉及部门绩效评价。</w:t>
      </w:r>
    </w:p>
    <w:p>
      <w:pPr>
        <w:keepNext w:val="0"/>
        <w:keepLines w:val="0"/>
        <w:pageBreakBefore w:val="0"/>
        <w:widowControl/>
        <w:kinsoku/>
        <w:wordWrap/>
        <w:overflowPunct/>
        <w:topLinePunct w:val="0"/>
        <w:autoSpaceDE/>
        <w:autoSpaceDN/>
        <w:bidi w:val="0"/>
        <w:adjustRightInd/>
        <w:snapToGrid/>
        <w:spacing w:before="240" w:after="240" w:line="540" w:lineRule="exact"/>
        <w:ind w:firstLine="643"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color w:val="000000"/>
          <w:kern w:val="0"/>
          <w:sz w:val="32"/>
          <w:szCs w:val="32"/>
        </w:rPr>
        <w:t>（二）单位决算中项目绩效自评结果。</w:t>
      </w:r>
    </w:p>
    <w:p>
      <w:pPr>
        <w:keepNext w:val="0"/>
        <w:keepLines w:val="0"/>
        <w:pageBreakBefore w:val="0"/>
        <w:widowControl/>
        <w:kinsoku/>
        <w:wordWrap/>
        <w:overflowPunct/>
        <w:topLinePunct w:val="0"/>
        <w:autoSpaceDE/>
        <w:autoSpaceDN/>
        <w:bidi w:val="0"/>
        <w:adjustRightInd/>
        <w:snapToGrid/>
        <w:spacing w:before="240" w:after="240" w:line="540" w:lineRule="exact"/>
        <w:ind w:firstLine="540" w:firstLineChars="200"/>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hint="eastAsia" w:ascii="仿宋_GB2312" w:hAnsi="仿宋_GB2312" w:eastAsia="仿宋_GB2312" w:cs="仿宋_GB2312"/>
          <w:color w:val="000000"/>
          <w:kern w:val="0"/>
          <w:sz w:val="32"/>
          <w:szCs w:val="32"/>
        </w:rPr>
        <w:t>赤峰市市场监督管理局（本级） 2024年度在决算中反映</w:t>
      </w:r>
      <w:r>
        <w:rPr>
          <w:rFonts w:hint="eastAsia" w:ascii="仿宋_GB2312" w:hAnsi="仿宋_GB2312" w:eastAsia="仿宋_GB2312" w:cs="仿宋_GB2312"/>
          <w:color w:val="000000"/>
          <w:kern w:val="0"/>
          <w:sz w:val="32"/>
          <w:szCs w:val="32"/>
          <w:u w:val="single" w:color="000000"/>
          <w:lang w:val="en-US" w:eastAsia="zh-CN"/>
        </w:rPr>
        <w:t>11</w:t>
      </w:r>
      <w:r>
        <w:rPr>
          <w:rFonts w:hint="eastAsia" w:ascii="仿宋_GB2312" w:hAnsi="仿宋_GB2312" w:eastAsia="仿宋_GB2312" w:cs="仿宋_GB2312"/>
          <w:color w:val="000000"/>
          <w:kern w:val="0"/>
          <w:sz w:val="32"/>
          <w:szCs w:val="32"/>
        </w:rPr>
        <w:t>个一般公共预算项目，以及</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个政府性基金项目， 共</w:t>
      </w:r>
      <w:r>
        <w:rPr>
          <w:rFonts w:hint="eastAsia" w:ascii="仿宋_GB2312" w:hAnsi="仿宋_GB2312" w:eastAsia="仿宋_GB2312" w:cs="仿宋_GB2312"/>
          <w:color w:val="000000"/>
          <w:kern w:val="0"/>
          <w:sz w:val="32"/>
          <w:szCs w:val="32"/>
          <w:u w:val="single" w:color="000000"/>
          <w:lang w:val="en-US" w:eastAsia="zh-CN"/>
        </w:rPr>
        <w:t>11</w:t>
      </w:r>
      <w:r>
        <w:rPr>
          <w:rFonts w:hint="eastAsia" w:ascii="仿宋_GB2312" w:hAnsi="仿宋_GB2312" w:eastAsia="仿宋_GB2312" w:cs="仿宋_GB2312"/>
          <w:color w:val="000000"/>
          <w:kern w:val="0"/>
          <w:sz w:val="32"/>
          <w:szCs w:val="32"/>
        </w:rPr>
        <w:t>个项目的绩效自评结果。</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市场监管执法经费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98.10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144.00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144.00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100.00</w:t>
      </w:r>
      <w:r>
        <w:rPr>
          <w:rFonts w:hint="eastAsia" w:ascii="仿宋_GB2312" w:hAnsi="仿宋_GB2312" w:eastAsia="仿宋_GB2312" w:cs="仿宋_GB2312"/>
          <w:color w:val="000000"/>
          <w:kern w:val="0"/>
          <w:sz w:val="32"/>
          <w:szCs w:val="32"/>
        </w:rPr>
        <w:t>%。项目绩效目标完成情况： 2024年完成食品执法检查约720人次，药品执法检查约280人次，特种设备执法检查约350人次，其他执法检查2780人次，参加市外培训110人次，通过对市场环境等各方面的监督检查，保障消费者合法权益。发现的主要问题及原因：</w:t>
      </w:r>
      <w:r>
        <w:rPr>
          <w:rFonts w:hint="eastAsia" w:ascii="仿宋_GB2312" w:hAnsi="仿宋_GB2312" w:eastAsia="仿宋_GB2312" w:cs="仿宋_GB2312"/>
          <w:color w:val="000000"/>
          <w:kern w:val="0"/>
          <w:sz w:val="32"/>
          <w:szCs w:val="32"/>
          <w:lang w:val="en-US" w:eastAsia="zh-CN"/>
        </w:rPr>
        <w:t>此项目本年已全部执行</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继续严格按照相关管理制度要求，严格规范使用项目资金，做到来源清楚、去向明确，进一步提高资金使用的规范性。同时利用利用绩效自评结果，促进单位增强责任和效益观念，提高财政资金支出决策水平和管理水平</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.知识产权资助奖励资金项目自评综述：根据年初设定的绩效目标，项目自评得分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99.96</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75.00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74.70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99.60</w:t>
      </w:r>
      <w:r>
        <w:rPr>
          <w:rFonts w:hint="eastAsia" w:ascii="仿宋_GB2312" w:hAnsi="仿宋_GB2312" w:eastAsia="仿宋_GB2312" w:cs="仿宋_GB2312"/>
          <w:color w:val="000000"/>
          <w:kern w:val="0"/>
          <w:sz w:val="32"/>
          <w:szCs w:val="32"/>
        </w:rPr>
        <w:t>%。项目绩效目标完成情况：奖励知识产权优势企业20家，自治区知识产权优势企业1家，知识产权管理体系认证2家，进一步提升知识产权创造和运用水平，推进知识产权强市建设，激发全市发明创造热情，持续优化营商环境。发现的主要问题及原因：</w:t>
      </w:r>
      <w:r>
        <w:rPr>
          <w:rFonts w:hint="eastAsia" w:ascii="仿宋_GB2312" w:hAnsi="仿宋_GB2312" w:eastAsia="仿宋_GB2312" w:cs="仿宋_GB2312"/>
          <w:color w:val="000000"/>
          <w:kern w:val="0"/>
          <w:sz w:val="32"/>
          <w:szCs w:val="32"/>
          <w:lang w:val="en-US" w:eastAsia="zh-CN"/>
        </w:rPr>
        <w:t>此项目本年已全部执行</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继续严格按照相关管理制度要求，严格规范使用项目资金，做到来源清楚、去向明确，进一步提高资金使用的规范性。同时利用利用绩效自评结果，促进单位增强责任和效益观念，提高财政资金支出决策水平和管理水平</w:t>
      </w:r>
      <w:r>
        <w:rPr>
          <w:rFonts w:hint="eastAsia" w:ascii="仿宋_GB2312" w:hAnsi="仿宋_GB2312" w:eastAsia="仿宋_GB2312" w:cs="仿宋_GB2312"/>
          <w:color w:val="000000"/>
          <w:kern w:val="0"/>
          <w:sz w:val="32"/>
          <w:szCs w:val="32"/>
        </w:rPr>
        <w:t>。</w:t>
      </w:r>
    </w:p>
    <w:p>
      <w:pPr>
        <w:pStyle w:val="29"/>
        <w:keepNext w:val="0"/>
        <w:keepLines w:val="0"/>
        <w:pageBreakBefore w:val="0"/>
        <w:widowControl/>
        <w:kinsoku/>
        <w:wordWrap/>
        <w:overflowPunct/>
        <w:topLinePunct w:val="0"/>
        <w:autoSpaceDE/>
        <w:autoSpaceDN/>
        <w:bidi w:val="0"/>
        <w:adjustRightInd/>
        <w:snapToGrid/>
        <w:spacing w:before="240" w:after="0" w:line="540" w:lineRule="exact"/>
        <w:ind w:firstLine="64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0"/>
          <w:sz w:val="32"/>
          <w:szCs w:val="32"/>
          <w:lang w:val="en-US" w:eastAsia="zh-CN"/>
        </w:rPr>
        <w:t>3.特种设备作业人员委托考试费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89.70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120.00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0.00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0.00</w:t>
      </w:r>
      <w:r>
        <w:rPr>
          <w:rFonts w:hint="eastAsia" w:ascii="仿宋_GB2312" w:hAnsi="仿宋_GB2312" w:eastAsia="仿宋_GB2312" w:cs="仿宋_GB2312"/>
          <w:color w:val="000000"/>
          <w:kern w:val="0"/>
          <w:sz w:val="32"/>
          <w:szCs w:val="32"/>
        </w:rPr>
        <w:t>%。项目绩效目标完成情况：完成特种设备理论考试共计2734人次，实操考试2375人次，金属焊接329人次。</w:t>
      </w:r>
      <w:r>
        <w:rPr>
          <w:rFonts w:hint="eastAsia" w:ascii="仿宋_GB2312" w:hAnsi="仿宋_GB2312" w:eastAsia="仿宋_GB2312" w:cs="仿宋_GB2312"/>
          <w:kern w:val="0"/>
          <w:sz w:val="32"/>
          <w:szCs w:val="32"/>
        </w:rPr>
        <w:t>发现的主要问题及原因：</w:t>
      </w:r>
      <w:r>
        <w:rPr>
          <w:rFonts w:hint="eastAsia" w:ascii="仿宋_GB2312" w:hAnsi="仿宋_GB2312" w:eastAsia="仿宋_GB2312" w:cs="仿宋_GB2312"/>
          <w:kern w:val="0"/>
          <w:sz w:val="32"/>
          <w:szCs w:val="32"/>
          <w:lang w:val="en-US" w:eastAsia="zh-CN"/>
        </w:rPr>
        <w:t>本项目资金未及时支付</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因此项目资金金额较大，年底一次性支付资金支付压力大，下一年度可以分阶段验收付款，缓解支付压力，使项目资金可以在当年的付款。</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4.市场监管业务委托服务费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95.93</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63.00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62.02</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98.44</w:t>
      </w:r>
      <w:r>
        <w:rPr>
          <w:rFonts w:hint="eastAsia" w:ascii="仿宋_GB2312" w:hAnsi="仿宋_GB2312" w:eastAsia="仿宋_GB2312" w:cs="仿宋_GB2312"/>
          <w:color w:val="000000"/>
          <w:kern w:val="0"/>
          <w:sz w:val="32"/>
          <w:szCs w:val="32"/>
        </w:rPr>
        <w:t>%。项目绩效目标完成情况：全年完成特种设备重点使用企业13家的风险等级评价，完成238家企业的年报核查，对赤峰市本级3个电视频道、3个广播频率、350家互联网媒体发布的广告开展监测工作，抓可疑违法线索，购买财务服务一次，规范我部门财务管理。通过购买第三方更加专业化的服务，不断提高市场监管效能，优化服务水平。发现的主要问题及原因：</w:t>
      </w:r>
      <w:r>
        <w:rPr>
          <w:rFonts w:hint="eastAsia" w:ascii="仿宋_GB2312" w:hAnsi="仿宋_GB2312" w:eastAsia="仿宋_GB2312" w:cs="仿宋_GB2312"/>
          <w:color w:val="000000"/>
          <w:kern w:val="0"/>
          <w:sz w:val="32"/>
          <w:szCs w:val="32"/>
          <w:lang w:val="en-US" w:eastAsia="zh-CN"/>
        </w:rPr>
        <w:t>此项目执行与年初目标设定略微偏移</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在预算编制中根据项目内容更加精准编制项目绩效目标，同时加强绩效监控，在执行过程中及时纠偏。</w:t>
      </w:r>
    </w:p>
    <w:p>
      <w:pPr>
        <w:pStyle w:val="29"/>
        <w:keepNext w:val="0"/>
        <w:keepLines w:val="0"/>
        <w:pageBreakBefore w:val="0"/>
        <w:widowControl/>
        <w:kinsoku/>
        <w:wordWrap/>
        <w:overflowPunct/>
        <w:topLinePunct w:val="0"/>
        <w:autoSpaceDE/>
        <w:autoSpaceDN/>
        <w:bidi w:val="0"/>
        <w:adjustRightInd/>
        <w:snapToGrid/>
        <w:spacing w:before="240" w:after="0" w:line="540" w:lineRule="exact"/>
        <w:ind w:firstLine="64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5.市场监管抽检经费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96.26</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45.00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40.60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90.22</w:t>
      </w:r>
      <w:r>
        <w:rPr>
          <w:rFonts w:hint="eastAsia" w:ascii="仿宋_GB2312" w:hAnsi="仿宋_GB2312" w:eastAsia="仿宋_GB2312" w:cs="仿宋_GB2312"/>
          <w:color w:val="000000"/>
          <w:kern w:val="0"/>
          <w:sz w:val="32"/>
          <w:szCs w:val="32"/>
        </w:rPr>
        <w:t>%。项目绩效目标完成情况： 2024年度实际完成食成品油抽检50批次，定量包装抽检43批次，煤炭抽检40批次，产品质量认证抽检33批次，质量认证抽检24批次，化妆品抽检50批次，其他产品质量抽检105批次，通过对产品的抽检，处罚生产及销售不合格产品商家，保障市场产品质量，维护消费者权益。发现的主要问题及原因：</w:t>
      </w:r>
      <w:r>
        <w:rPr>
          <w:rFonts w:hint="eastAsia" w:ascii="仿宋_GB2312" w:hAnsi="仿宋_GB2312" w:eastAsia="仿宋_GB2312" w:cs="仿宋_GB2312"/>
          <w:kern w:val="0"/>
          <w:sz w:val="32"/>
          <w:szCs w:val="32"/>
          <w:lang w:val="en-US" w:eastAsia="zh-CN"/>
        </w:rPr>
        <w:t>本项目培训费本年未全部执行</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加快执行进度，年初，年中督促科室尽快执行项目，保障项目本年内完成。</w:t>
      </w:r>
    </w:p>
    <w:p>
      <w:pPr>
        <w:keepNext w:val="0"/>
        <w:keepLines w:val="0"/>
        <w:pageBreakBefore w:val="0"/>
        <w:widowControl/>
        <w:kinsoku/>
        <w:wordWrap/>
        <w:overflowPunct/>
        <w:topLinePunct w:val="0"/>
        <w:autoSpaceDE/>
        <w:autoSpaceDN/>
        <w:bidi w:val="0"/>
        <w:adjustRightInd/>
        <w:snapToGrid/>
        <w:spacing w:before="240" w:after="240" w:line="54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kern w:val="0"/>
          <w:sz w:val="27"/>
          <w:szCs w:val="27"/>
        </w:rPr>
        <w:t>   </w:t>
      </w:r>
      <w:r>
        <w:rPr>
          <w:rFonts w:hint="eastAsia" w:ascii="楷体_GB2312" w:hAnsi="楷体_GB2312" w:eastAsia="楷体_GB2312" w:cs="楷体_GB2312"/>
          <w:b/>
          <w:bCs/>
          <w:kern w:val="0"/>
          <w:sz w:val="32"/>
          <w:szCs w:val="32"/>
        </w:rPr>
        <w:t xml:space="preserve"> （三）部门项目绩效评价结果。</w:t>
      </w:r>
    </w:p>
    <w:p>
      <w:pPr>
        <w:keepNext w:val="0"/>
        <w:keepLines w:val="0"/>
        <w:pageBreakBefore w:val="0"/>
        <w:widowControl/>
        <w:kinsoku/>
        <w:wordWrap/>
        <w:overflowPunct/>
        <w:topLinePunct w:val="0"/>
        <w:autoSpaceDE/>
        <w:autoSpaceDN/>
        <w:bidi w:val="0"/>
        <w:adjustRightInd/>
        <w:snapToGrid/>
        <w:spacing w:before="240" w:after="240" w:line="540" w:lineRule="exact"/>
        <w:jc w:val="left"/>
        <w:textAlignment w:val="auto"/>
        <w:rPr>
          <w:rFonts w:hint="eastAsia" w:ascii="仿宋_GB2312" w:hAnsi="仿宋_GB2312" w:eastAsia="仿宋_GB2312" w:cs="仿宋_GB2312"/>
          <w:kern w:val="0"/>
          <w:sz w:val="32"/>
          <w:szCs w:val="32"/>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以</w:t>
      </w:r>
      <w:r>
        <w:rPr>
          <w:rFonts w:hint="eastAsia" w:ascii="仿宋_GB2312" w:hAnsi="仿宋_GB2312" w:eastAsia="仿宋_GB2312" w:cs="仿宋_GB2312"/>
          <w:color w:val="000000"/>
          <w:kern w:val="0"/>
          <w:sz w:val="32"/>
          <w:szCs w:val="32"/>
          <w:lang w:val="en-US" w:eastAsia="zh-CN"/>
        </w:rPr>
        <w:t>市场监管执法经费</w:t>
      </w:r>
      <w:r>
        <w:rPr>
          <w:rFonts w:hint="eastAsia" w:ascii="仿宋_GB2312" w:hAnsi="仿宋_GB2312" w:eastAsia="仿宋_GB2312" w:cs="仿宋_GB2312"/>
          <w:kern w:val="0"/>
          <w:sz w:val="32"/>
          <w:szCs w:val="32"/>
        </w:rPr>
        <w:t>项目为例，该项目绩效评价综合得分为</w:t>
      </w:r>
      <w:r>
        <w:rPr>
          <w:rFonts w:hint="eastAsia" w:ascii="仿宋_GB2312" w:hAnsi="仿宋_GB2312" w:eastAsia="仿宋_GB2312" w:cs="仿宋_GB2312"/>
          <w:kern w:val="0"/>
          <w:sz w:val="32"/>
          <w:szCs w:val="32"/>
          <w:u w:val="single"/>
          <w:lang w:val="en-US" w:eastAsia="zh-CN"/>
        </w:rPr>
        <w:t>98.10</w:t>
      </w:r>
      <w:r>
        <w:rPr>
          <w:rFonts w:hint="eastAsia" w:ascii="仿宋_GB2312" w:hAnsi="仿宋_GB2312" w:eastAsia="仿宋_GB2312" w:cs="仿宋_GB2312"/>
          <w:kern w:val="0"/>
          <w:sz w:val="32"/>
          <w:szCs w:val="32"/>
        </w:rPr>
        <w:t>分，绩效评价结果为“优”。重点项目绩效评价得分情况详见单位具体绩效评价结果。</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p>
    <w:p>
      <w:pPr>
        <w:pStyle w:val="3"/>
        <w:keepNext w:val="0"/>
        <w:keepLines w:val="0"/>
        <w:pageBreakBefore w:val="0"/>
        <w:widowControl/>
        <w:kinsoku/>
        <w:wordWrap/>
        <w:overflowPunct/>
        <w:topLinePunct w:val="0"/>
        <w:autoSpaceDE/>
        <w:autoSpaceDN/>
        <w:bidi w:val="0"/>
        <w:adjustRightInd/>
        <w:snapToGrid/>
        <w:spacing w:before="299" w:after="299"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kern w:val="0"/>
          <w:sz w:val="36"/>
          <w:szCs w:val="36"/>
        </w:rPr>
        <w:t>第三部分 名词解释</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32"/>
          <w:szCs w:val="32"/>
        </w:rPr>
        <w:t>  一、财政拨款收入：</w:t>
      </w:r>
      <w:r>
        <w:rPr>
          <w:rFonts w:hint="eastAsia"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二、上级补助收入：</w:t>
      </w:r>
      <w:r>
        <w:rPr>
          <w:rFonts w:hint="eastAsia" w:ascii="仿宋_GB2312" w:hAnsi="仿宋_GB2312" w:eastAsia="仿宋_GB2312" w:cs="仿宋_GB2312"/>
          <w:kern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三、财政专户管理教育收费：</w:t>
      </w:r>
      <w:r>
        <w:rPr>
          <w:rFonts w:hint="eastAsia"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四、事业收入：</w:t>
      </w:r>
      <w:r>
        <w:rPr>
          <w:rFonts w:hint="eastAsia" w:ascii="仿宋_GB2312" w:hAnsi="仿宋_GB2312" w:eastAsia="仿宋_GB2312" w:cs="仿宋_GB2312"/>
          <w:kern w:val="0"/>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五、经营收入：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六、附属单位上缴收入：</w:t>
      </w:r>
      <w:r>
        <w:rPr>
          <w:rFonts w:hint="eastAsia" w:ascii="仿宋_GB2312" w:hAnsi="仿宋_GB2312" w:eastAsia="仿宋_GB2312" w:cs="仿宋_GB2312"/>
          <w:kern w:val="0"/>
          <w:sz w:val="32"/>
          <w:szCs w:val="32"/>
        </w:rPr>
        <w:t>指事业单位取得附属独立核算单位按照有关规定上缴的收入。</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七、其他收入：</w:t>
      </w:r>
      <w:r>
        <w:rPr>
          <w:rFonts w:hint="eastAsia" w:ascii="仿宋_GB2312" w:hAnsi="仿宋_GB2312" w:eastAsia="仿宋_GB2312" w:cs="仿宋_GB2312"/>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八、使用非财政拨款结余（含专用结余）：</w:t>
      </w:r>
      <w:r>
        <w:rPr>
          <w:rFonts w:hint="eastAsia" w:ascii="仿宋_GB2312" w:hAnsi="仿宋_GB2312" w:eastAsia="仿宋_GB2312" w:cs="仿宋_GB2312"/>
          <w:kern w:val="0"/>
          <w:sz w:val="32"/>
          <w:szCs w:val="32"/>
        </w:rPr>
        <w:t>指事业单位按照预算管理要求使用非财政拨款结余</w:t>
      </w:r>
      <w:r>
        <w:rPr>
          <w:rFonts w:hint="eastAsia" w:ascii="仿宋_GB2312" w:hAnsi="仿宋_GB2312" w:eastAsia="仿宋_GB2312" w:cs="仿宋_GB2312"/>
          <w:color w:val="000000"/>
          <w:kern w:val="0"/>
          <w:sz w:val="32"/>
          <w:szCs w:val="32"/>
        </w:rPr>
        <w:t>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九、年初结转和结余：</w:t>
      </w:r>
      <w:r>
        <w:rPr>
          <w:rFonts w:hint="eastAsia" w:ascii="仿宋_GB2312" w:hAnsi="仿宋_GB2312" w:eastAsia="仿宋_GB2312" w:cs="仿宋_GB2312"/>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十、结余分配：</w:t>
      </w:r>
      <w:r>
        <w:rPr>
          <w:rFonts w:hint="eastAsia" w:ascii="仿宋_GB2312" w:hAnsi="仿宋_GB2312" w:eastAsia="仿宋_GB2312" w:cs="仿宋_GB2312"/>
          <w:kern w:val="0"/>
          <w:sz w:val="32"/>
          <w:szCs w:val="32"/>
        </w:rPr>
        <w:t>指单位按规定缴纳企业所得税以及从非财政拨款结余或经营结余中提取各类结余的情况。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十一、年末结转和结余资金：</w:t>
      </w:r>
      <w:r>
        <w:rPr>
          <w:rFonts w:hint="eastAsia" w:ascii="仿宋_GB2312" w:hAnsi="仿宋_GB2312" w:eastAsia="仿宋_GB2312" w:cs="仿宋_GB2312"/>
          <w:kern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十二、基本支出：</w:t>
      </w:r>
      <w:r>
        <w:rPr>
          <w:rFonts w:hint="eastAsia" w:ascii="仿宋_GB2312" w:hAnsi="仿宋_GB2312" w:eastAsia="仿宋_GB2312" w:cs="仿宋_GB2312"/>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十三、项目支出：</w:t>
      </w:r>
      <w:r>
        <w:rPr>
          <w:rFonts w:hint="eastAsia" w:ascii="仿宋_GB2312" w:hAnsi="仿宋_GB2312" w:eastAsia="仿宋_GB2312" w:cs="仿宋_GB2312"/>
          <w:kern w:val="0"/>
          <w:sz w:val="32"/>
          <w:szCs w:val="32"/>
        </w:rPr>
        <w:t>指在为完成特定的行政工作任务或事业发展目标所发生的支出。</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十四、上缴上级支出：</w:t>
      </w:r>
      <w:r>
        <w:rPr>
          <w:rFonts w:hint="eastAsia" w:ascii="仿宋_GB2312" w:hAnsi="仿宋_GB2312" w:eastAsia="仿宋_GB2312" w:cs="仿宋_GB2312"/>
          <w:kern w:val="0"/>
          <w:sz w:val="32"/>
          <w:szCs w:val="32"/>
        </w:rPr>
        <w:t>指事业单位按照财政部门和主管部门的规定上缴上级单位的支出。</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十五、经营支出：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十六、对附属单位补助支出：</w:t>
      </w:r>
      <w:r>
        <w:rPr>
          <w:rFonts w:hint="eastAsia" w:ascii="仿宋_GB2312" w:hAnsi="仿宋_GB2312" w:eastAsia="仿宋_GB2312" w:cs="仿宋_GB2312"/>
          <w:kern w:val="0"/>
          <w:sz w:val="32"/>
          <w:szCs w:val="32"/>
        </w:rPr>
        <w:t>指事业单位用财政拨款收入之外的收入对附属单位补助发生的支出。</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十七、“三公”经费：</w:t>
      </w:r>
      <w:r>
        <w:rPr>
          <w:rFonts w:hint="eastAsia"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十八、机关运行经费：</w:t>
      </w:r>
      <w:r>
        <w:rPr>
          <w:rFonts w:hint="eastAsia" w:ascii="仿宋_GB2312" w:hAnsi="仿宋_GB2312" w:eastAsia="仿宋_GB2312" w:cs="仿宋_GB2312"/>
          <w:color w:val="000000"/>
          <w:kern w:val="0"/>
          <w:sz w:val="32"/>
          <w:szCs w:val="32"/>
        </w:rPr>
        <w:t>指行政单位和参照公务员法管理的事业单位财政拨款</w:t>
      </w:r>
      <w:r>
        <w:rPr>
          <w:rFonts w:hint="eastAsia"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hint="eastAsia" w:ascii="宋体" w:hAnsi="宋体" w:eastAsia="宋体" w:cs="宋体"/>
          <w:b/>
          <w:bCs/>
          <w:kern w:val="0"/>
          <w:sz w:val="36"/>
          <w:szCs w:val="36"/>
        </w:rPr>
      </w:pP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w:t>
      </w: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本部门（单位）决算公开信息反馈和联系方式：</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w:t>
      </w: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联系人：</w:t>
      </w:r>
      <w:r>
        <w:rPr>
          <w:rFonts w:ascii="仿宋_GB2312" w:hAnsi="仿宋_GB2312" w:eastAsia="仿宋_GB2312" w:cs="仿宋_GB2312"/>
          <w:kern w:val="0"/>
          <w:sz w:val="32"/>
          <w:szCs w:val="32"/>
          <w:u w:val="single"/>
        </w:rPr>
        <w:t>李亚男</w:t>
      </w:r>
      <w:r>
        <w:rPr>
          <w:rFonts w:ascii="Calibri" w:hAnsi="Calibri" w:eastAsia="Calibri" w:cs="Calibri"/>
          <w:kern w:val="0"/>
          <w:sz w:val="32"/>
          <w:szCs w:val="32"/>
          <w:u w:val="single"/>
        </w:rPr>
        <w:t> </w:t>
      </w:r>
      <w:r>
        <w:rPr>
          <w:rFonts w:ascii="Calibri" w:hAnsi="Calibri" w:eastAsia="Calibri" w:cs="Calibri"/>
          <w:kern w:val="0"/>
          <w:sz w:val="32"/>
          <w:szCs w:val="32"/>
        </w:rPr>
        <w:t>          </w:t>
      </w:r>
      <w:r>
        <w:rPr>
          <w:rFonts w:ascii="仿宋_GB2312" w:hAnsi="仿宋_GB2312" w:eastAsia="仿宋_GB2312" w:cs="仿宋_GB2312"/>
          <w:kern w:val="0"/>
          <w:sz w:val="32"/>
          <w:szCs w:val="32"/>
        </w:rPr>
        <w:t>联系电话：</w:t>
      </w:r>
      <w:r>
        <w:rPr>
          <w:rFonts w:ascii="仿宋_GB2312" w:hAnsi="仿宋_GB2312" w:eastAsia="仿宋_GB2312" w:cs="仿宋_GB2312"/>
          <w:kern w:val="0"/>
          <w:sz w:val="32"/>
          <w:szCs w:val="32"/>
          <w:u w:val="single"/>
        </w:rPr>
        <w:t>0476-5890511</w:t>
      </w:r>
      <w:r>
        <w:rPr>
          <w:rFonts w:ascii="Calibri" w:hAnsi="Calibri" w:eastAsia="Calibri" w:cs="Calibri"/>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p>
    <w:p>
      <w:pPr>
        <w:pStyle w:val="3"/>
        <w:keepNext w:val="0"/>
        <w:keepLines w:val="0"/>
        <w:pageBreakBefore w:val="0"/>
        <w:widowControl/>
        <w:kinsoku/>
        <w:wordWrap/>
        <w:overflowPunct/>
        <w:topLinePunct w:val="0"/>
        <w:autoSpaceDE/>
        <w:autoSpaceDN/>
        <w:bidi w:val="0"/>
        <w:adjustRightInd/>
        <w:snapToGrid/>
        <w:spacing w:before="299" w:after="299"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kern w:val="0"/>
          <w:sz w:val="36"/>
          <w:szCs w:val="36"/>
        </w:rPr>
        <w:t>第五部分 部门（单位）决算表</w:t>
      </w:r>
    </w:p>
    <w:p>
      <w:pPr>
        <w:keepNext w:val="0"/>
        <w:keepLines w:val="0"/>
        <w:pageBreakBefore w:val="0"/>
        <w:widowControl/>
        <w:kinsoku/>
        <w:wordWrap/>
        <w:overflowPunct/>
        <w:topLinePunct w:val="0"/>
        <w:autoSpaceDE/>
        <w:autoSpaceDN/>
        <w:bidi w:val="0"/>
        <w:adjustRightInd/>
        <w:snapToGrid/>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hint="eastAsia" w:ascii="仿宋_GB2312" w:hAnsi="仿宋_GB2312" w:eastAsia="仿宋_GB2312" w:cs="仿宋_GB2312"/>
          <w:kern w:val="0"/>
          <w:sz w:val="32"/>
          <w:szCs w:val="32"/>
        </w:rPr>
        <w:t xml:space="preserve">   见附件。</w:t>
      </w:r>
    </w:p>
    <w:bookmarkEnd w:id="0"/>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p>
    <w:sectPr>
      <w:footerReference r:id="rId4" w:type="default"/>
      <w:pgSz w:w="11906" w:h="16838"/>
      <w:pgMar w:top="1701" w:right="1134" w:bottom="1701" w:left="1134"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fang_song_gb2312">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kai_ti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26</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OGM0ODQyOTA0MzEwYmViYWYxYmVlM2E4YmUwMmE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553107"/>
    <w:rsid w:val="03394157"/>
    <w:rsid w:val="044E04C9"/>
    <w:rsid w:val="075C3866"/>
    <w:rsid w:val="08993540"/>
    <w:rsid w:val="098826F0"/>
    <w:rsid w:val="0ACA6E10"/>
    <w:rsid w:val="0C8573BB"/>
    <w:rsid w:val="122D43E0"/>
    <w:rsid w:val="16084170"/>
    <w:rsid w:val="17714D85"/>
    <w:rsid w:val="182F467F"/>
    <w:rsid w:val="1C9C6787"/>
    <w:rsid w:val="1D9D36B9"/>
    <w:rsid w:val="1E5135A1"/>
    <w:rsid w:val="29F305CF"/>
    <w:rsid w:val="2CE5368F"/>
    <w:rsid w:val="2F3D1470"/>
    <w:rsid w:val="32801F6E"/>
    <w:rsid w:val="33635433"/>
    <w:rsid w:val="336B5DA3"/>
    <w:rsid w:val="356572FF"/>
    <w:rsid w:val="35960EC9"/>
    <w:rsid w:val="35E61050"/>
    <w:rsid w:val="36A864C7"/>
    <w:rsid w:val="39A3297E"/>
    <w:rsid w:val="3CA562E6"/>
    <w:rsid w:val="3F3E6DD2"/>
    <w:rsid w:val="414476AE"/>
    <w:rsid w:val="44250560"/>
    <w:rsid w:val="458A34FF"/>
    <w:rsid w:val="45F356E8"/>
    <w:rsid w:val="46AE4C35"/>
    <w:rsid w:val="4761678A"/>
    <w:rsid w:val="47C841F6"/>
    <w:rsid w:val="49167019"/>
    <w:rsid w:val="4A9B6A47"/>
    <w:rsid w:val="4AEE5B50"/>
    <w:rsid w:val="51CD438B"/>
    <w:rsid w:val="52C4230E"/>
    <w:rsid w:val="533F1F43"/>
    <w:rsid w:val="55E276DA"/>
    <w:rsid w:val="56325829"/>
    <w:rsid w:val="56C149B2"/>
    <w:rsid w:val="586D09FC"/>
    <w:rsid w:val="59633BAD"/>
    <w:rsid w:val="5C7D4918"/>
    <w:rsid w:val="5F045E54"/>
    <w:rsid w:val="5F4D1265"/>
    <w:rsid w:val="621771F3"/>
    <w:rsid w:val="62F13785"/>
    <w:rsid w:val="649B1735"/>
    <w:rsid w:val="660F3702"/>
    <w:rsid w:val="694E17D6"/>
    <w:rsid w:val="6EC702DA"/>
    <w:rsid w:val="6F390465"/>
    <w:rsid w:val="6F946416"/>
    <w:rsid w:val="71CE20ED"/>
    <w:rsid w:val="73762D4A"/>
    <w:rsid w:val="738505EC"/>
    <w:rsid w:val="755C3876"/>
    <w:rsid w:val="7721058E"/>
    <w:rsid w:val="774670D8"/>
    <w:rsid w:val="781D027F"/>
    <w:rsid w:val="79F1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autoRedefine/>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autoRedefine/>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autoRedefine/>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customStyle="1" w:styleId="22">
    <w:name w:val="标题 4 字符"/>
    <w:basedOn w:val="19"/>
    <w:link w:val="5"/>
    <w:autoRedefine/>
    <w:qFormat/>
    <w:uiPriority w:val="0"/>
    <w:rPr>
      <w:rFonts w:ascii="Cambria" w:hAnsi="Cambria"/>
      <w:b/>
      <w:bCs/>
      <w:kern w:val="2"/>
      <w:sz w:val="28"/>
      <w:szCs w:val="28"/>
    </w:rPr>
  </w:style>
  <w:style w:type="paragraph" w:styleId="23">
    <w:name w:val="No Spacing"/>
    <w:link w:val="24"/>
    <w:autoRedefine/>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autoRedefine/>
    <w:qFormat/>
    <w:locked/>
    <w:uiPriority w:val="0"/>
    <w:rPr>
      <w:rFonts w:eastAsia="仿宋_GB2312"/>
      <w:sz w:val="30"/>
      <w:szCs w:val="22"/>
      <w:lang w:bidi="ar-SA"/>
    </w:rPr>
  </w:style>
  <w:style w:type="character" w:customStyle="1" w:styleId="25">
    <w:name w:val="页脚 字符"/>
    <w:basedOn w:val="19"/>
    <w:link w:val="11"/>
    <w:autoRedefine/>
    <w:qFormat/>
    <w:uiPriority w:val="0"/>
    <w:rPr>
      <w:kern w:val="2"/>
      <w:sz w:val="18"/>
      <w:szCs w:val="18"/>
    </w:rPr>
  </w:style>
  <w:style w:type="paragraph" w:styleId="26">
    <w:name w:val="List Paragraph"/>
    <w:basedOn w:val="1"/>
    <w:autoRedefine/>
    <w:qFormat/>
    <w:uiPriority w:val="0"/>
    <w:pPr>
      <w:ind w:firstLine="420" w:firstLineChars="200"/>
    </w:pPr>
  </w:style>
  <w:style w:type="character" w:customStyle="1" w:styleId="27">
    <w:name w:val="标题 3 字符"/>
    <w:basedOn w:val="19"/>
    <w:link w:val="4"/>
    <w:autoRedefine/>
    <w:qFormat/>
    <w:uiPriority w:val="0"/>
    <w:rPr>
      <w:b/>
      <w:bCs/>
      <w:kern w:val="2"/>
      <w:sz w:val="32"/>
      <w:szCs w:val="32"/>
    </w:rPr>
  </w:style>
  <w:style w:type="paragraph" w:customStyle="1" w:styleId="28">
    <w:name w:val="MsoNormal"/>
    <w:basedOn w:val="1"/>
    <w:autoRedefine/>
    <w:qFormat/>
    <w:uiPriority w:val="0"/>
  </w:style>
  <w:style w:type="paragraph" w:customStyle="1" w:styleId="29">
    <w:name w:val="MsoBodyText"/>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50</Words>
  <Characters>128</Characters>
  <Lines>1</Lines>
  <Paragraphs>1</Paragraphs>
  <TotalTime>11</TotalTime>
  <ScaleCrop>false</ScaleCrop>
  <LinksUpToDate>false</LinksUpToDate>
  <CharactersWithSpaces>128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2025-10-23T08:49:47Z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2052-12.1.0.16120</vt:lpwstr>
  </property>
  <property fmtid="{D5CDD505-2E9C-101B-9397-08002B2CF9AE}" pid="4" name="KSOTemplateDocerSaveRecord">
    <vt:lpwstr>eyJoZGlkIjoiN2YzNjBkOTgyNWQ1YTMxYzM3MzMwNWFiODNmOWIzYWMiLCJ1c2VySWQiOiI4MDUyMTE2MjkifQ==</vt:lpwstr>
  </property>
</Properties>
</file>