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市场监管执法经费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赤峰市市场监督管理局（部门）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市场监管执法经费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该项目市场监管执法经费，主要保障食品，药品，化妆品，特种设备等执法检查经费，通过对于市场的监督检查，有效维护全市市场秩序，保护消费者合法权益。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年初申请预算174万元，主要用于执法检查差旅费，通过对于市场的监督检查，有效维护全市市场秩序，保护消费者合法权益。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全年共计完成约2909人次市内出差，210人次市外出差。通过对于市场的监督检查，有效维护全市市场秩序，保护消费者合法权益。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通过开展绩效自评，严格落实绩效管理工作的有关规定，全面掌握资金的使用情况、项目进度以及实施效率，并及时发现项目执行过程中存在的问题，困难，总结经验教训，进行项目修正和进一步推进预算绩效管理，减少不合理支出，强化绩效自评结果应用，强化财政支出绩效理念，提升部门责任意识，做到资金合理使用，提高资金管理水平和使用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174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174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174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174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120.67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69.35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120.67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市场监管执法经费年初预算174万元，本年执行120.67万元，执行率69.35%。全年共计完成约2909人次市内出差，210人次市外出差。通过对于市场的监督检查，有效维护全市市场秩序，保护消费者合法权益。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我单位项目资金管理按照文件要求认真贯彻落实预算法，严格执行部门预算。未列入预算的项目不得支出，不得超预算安排支出。在年度预算管理过程中，进一步强化资金的分配、使用、管理等环节的事前防范、事中控制、事后监督，努力提高项目资金分配效率。在预算执行管理方面，经费开支严格按照财务管理审批流程，确保专款专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1）市内检查人次(人次)，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3904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2909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5.96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2）市外培训及出差人次(人次)，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1）执法检查合规性(%)，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2）参加培训合格率(%)，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1）执法检查及时率(%)，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2）培训完成及时率(%)，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1）市内执法检查差旅标准(元/人/天)，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356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2）市外培训差旅标准(元/人/天)，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1）促进辖区生产经营者守法经营，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促进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促进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2）保护消费者合法权益，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保护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保护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1）维护市场秩序，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1）出差人员满意度(%)，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94.9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本年项目指标未全部完成，下一年度督促业务科室加快执行进度，保证年初设立指标目标的完成。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项目立项、实施存在问题。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（二）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资金管理使用存在问题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）措施及办法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ascii="仿宋" w:hAnsi="仿宋" w:eastAsia="仿宋" w:cs="仿宋"/>
          <w:sz w:val="32"/>
        </w:rPr>
        <w:t>. 本年项目指标未全部完成，下一年度督促业务科室加快执行进度，保证年初设立指标目标的完成。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绩效自评结果在2025年决算公开时在财政网站、政府网站及单位门户网站同步公开。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</w:p>
  </w:endnote>
  <w:endnote w:type="continuationSeparator" w:id="1">
    <w:p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</w:p>
  </w:footnote>
  <w:footnote w:type="continuationSeparator" w:id="1">
    <w:p>
      <w:pPr>
        <w:spacing w:line="36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CC79FB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0</TotalTime>
  <ScaleCrop>false</ScaleCrop>
  <LinksUpToDate>false</LinksUpToDate>
  <CharactersWithSpaces>1428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user</cp:lastModifiedBy>
  <dcterms:modified xsi:type="dcterms:W3CDTF">2026-03-12T08:32:53Z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1E783D06E0A64A039549809408296BD7_13</vt:lpwstr>
  </property>
</Properties>
</file>