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u w:val="none" w:color="auto"/>
        </w:rPr>
      </w:pPr>
    </w:p>
    <w:p w14:paraId="781F0199">
      <w:pPr>
        <w:spacing w:line="360" w:lineRule="auto"/>
        <w:jc w:val="center"/>
        <w:rPr>
          <w:rFonts w:ascii="宋体" w:hAnsi="宋体"/>
          <w:sz w:val="24"/>
          <w:u w:val="none" w:color="auto"/>
        </w:rPr>
      </w:pPr>
    </w:p>
    <w:p w14:paraId="588D4AEF">
      <w:pPr>
        <w:spacing w:line="360" w:lineRule="auto"/>
        <w:jc w:val="center"/>
        <w:rPr>
          <w:rFonts w:ascii="宋体" w:hAnsi="宋体"/>
          <w:sz w:val="24"/>
          <w:u w:val="none" w:color="auto"/>
        </w:rPr>
      </w:pPr>
    </w:p>
    <w:p w14:paraId="3F809282">
      <w:pPr>
        <w:spacing w:line="360" w:lineRule="auto"/>
        <w:jc w:val="center"/>
        <w:rPr>
          <w:rFonts w:ascii="宋体" w:hAnsi="宋体"/>
          <w:sz w:val="24"/>
          <w:u w:val="none" w:color="auto"/>
        </w:rPr>
      </w:pPr>
    </w:p>
    <w:p w14:paraId="75FB33B8">
      <w:pPr>
        <w:spacing w:line="360" w:lineRule="auto"/>
        <w:jc w:val="center"/>
        <w:rPr>
          <w:rFonts w:hint="eastAsia" w:ascii="宋体" w:hAnsi="宋体"/>
          <w:b/>
          <w:bCs/>
          <w:sz w:val="52"/>
          <w:szCs w:val="52"/>
          <w:u w:val="none" w:color="auto"/>
        </w:rPr>
      </w:pPr>
      <w:r>
        <w:rPr>
          <w:rFonts w:ascii="宋体" w:hAnsi="宋体"/>
          <w:b/>
          <w:bCs/>
          <w:sz w:val="52"/>
          <w:szCs w:val="52"/>
          <w:u w:val="none" w:color="auto"/>
        </w:rPr>
        <w:t>2025</w:t>
      </w:r>
      <w:r>
        <w:rPr>
          <w:rFonts w:hint="eastAsia" w:ascii="宋体" w:hAnsi="宋体"/>
          <w:b/>
          <w:bCs/>
          <w:sz w:val="52"/>
          <w:szCs w:val="52"/>
          <w:u w:val="none" w:color="auto"/>
        </w:rPr>
        <w:t>年度</w:t>
      </w:r>
    </w:p>
    <w:p w14:paraId="42815D58">
      <w:pPr>
        <w:spacing w:line="360" w:lineRule="auto"/>
        <w:jc w:val="center"/>
        <w:rPr>
          <w:rFonts w:ascii="宋体" w:hAnsi="宋体"/>
          <w:b/>
          <w:bCs/>
          <w:sz w:val="52"/>
          <w:szCs w:val="52"/>
          <w:u w:val="none" w:color="auto"/>
        </w:rPr>
      </w:pPr>
      <w:r>
        <w:rPr>
          <w:rFonts w:hint="eastAsia" w:ascii="宋体" w:hAnsi="宋体"/>
          <w:b/>
          <w:bCs/>
          <w:sz w:val="52"/>
          <w:szCs w:val="52"/>
          <w:u w:val="none" w:color="auto"/>
        </w:rPr>
        <w:t>赤峰市食品药品安全监测中心</w:t>
      </w:r>
    </w:p>
    <w:p w14:paraId="77E6C3D2">
      <w:pPr>
        <w:spacing w:line="360" w:lineRule="auto"/>
        <w:jc w:val="center"/>
        <w:rPr>
          <w:rFonts w:ascii="宋体" w:hAnsi="宋体"/>
          <w:b/>
          <w:bCs/>
          <w:sz w:val="52"/>
          <w:szCs w:val="52"/>
          <w:u w:val="none" w:color="auto"/>
        </w:rPr>
      </w:pPr>
      <w:r>
        <w:rPr>
          <w:rFonts w:hint="eastAsia" w:ascii="宋体" w:hAnsi="宋体"/>
          <w:b/>
          <w:bCs/>
          <w:sz w:val="52"/>
          <w:szCs w:val="52"/>
          <w:u w:val="none" w:color="auto"/>
          <w:lang w:eastAsia="zh-CN"/>
        </w:rPr>
        <w:t>决算</w:t>
      </w:r>
      <w:bookmarkStart w:id="1" w:name="_GoBack"/>
      <w:bookmarkEnd w:id="1"/>
      <w:r>
        <w:rPr>
          <w:rFonts w:hint="eastAsia" w:ascii="宋体" w:hAnsi="宋体"/>
          <w:b/>
          <w:bCs/>
          <w:sz w:val="52"/>
          <w:szCs w:val="52"/>
          <w:u w:val="none" w:color="auto"/>
        </w:rPr>
        <w:t>公开报告</w:t>
      </w:r>
    </w:p>
    <w:p w14:paraId="6AF33ABC">
      <w:pPr>
        <w:spacing w:line="360" w:lineRule="auto"/>
        <w:jc w:val="center"/>
        <w:rPr>
          <w:rFonts w:ascii="宋体" w:hAnsi="宋体"/>
          <w:b/>
          <w:bCs/>
          <w:sz w:val="52"/>
          <w:szCs w:val="52"/>
          <w:u w:val="none" w:color="auto"/>
        </w:rPr>
      </w:pPr>
    </w:p>
    <w:p w14:paraId="10212A6C">
      <w:pPr>
        <w:spacing w:line="360" w:lineRule="auto"/>
        <w:jc w:val="center"/>
        <w:rPr>
          <w:rFonts w:ascii="宋体" w:hAnsi="宋体"/>
          <w:b/>
          <w:bCs/>
          <w:sz w:val="52"/>
          <w:szCs w:val="52"/>
          <w:u w:val="none" w:color="auto"/>
        </w:rPr>
      </w:pPr>
    </w:p>
    <w:p w14:paraId="636528E7">
      <w:pPr>
        <w:spacing w:line="360" w:lineRule="auto"/>
        <w:jc w:val="center"/>
        <w:rPr>
          <w:rFonts w:ascii="宋体" w:hAnsi="宋体"/>
          <w:b/>
          <w:bCs/>
          <w:sz w:val="52"/>
          <w:szCs w:val="52"/>
          <w:u w:val="none" w:color="auto"/>
        </w:rPr>
      </w:pPr>
    </w:p>
    <w:p w14:paraId="5E08A30E">
      <w:pPr>
        <w:spacing w:line="360" w:lineRule="auto"/>
        <w:jc w:val="both"/>
        <w:rPr>
          <w:rFonts w:ascii="宋体" w:hAnsi="宋体"/>
          <w:b/>
          <w:bCs/>
          <w:sz w:val="52"/>
          <w:szCs w:val="52"/>
          <w:u w:val="none" w:color="auto"/>
        </w:rPr>
      </w:pPr>
    </w:p>
    <w:p w14:paraId="4667B9AF">
      <w:pPr>
        <w:spacing w:line="360" w:lineRule="auto"/>
        <w:jc w:val="center"/>
        <w:rPr>
          <w:rFonts w:ascii="宋体" w:hAnsi="宋体"/>
          <w:b/>
          <w:bCs/>
          <w:sz w:val="52"/>
          <w:szCs w:val="52"/>
        </w:rPr>
      </w:pPr>
    </w:p>
    <w:p w14:paraId="7BAF0196">
      <w:pPr>
        <w:adjustRightInd w:val="0"/>
        <w:snapToGrid w:val="0"/>
        <w:ind w:firstLine="1606" w:firstLineChars="500"/>
        <w:rPr>
          <w:rFonts w:hint="eastAsia" w:ascii="仿宋_GB2312" w:hAnsi="宋体" w:eastAsia="仿宋_GB2312"/>
          <w:b/>
          <w:sz w:val="32"/>
          <w:szCs w:val="32"/>
          <w:lang w:eastAsia="zh-CN"/>
        </w:rPr>
      </w:pPr>
      <w:r>
        <w:rPr>
          <w:rFonts w:hint="eastAsia" w:ascii="仿宋_GB2312" w:hAnsi="宋体" w:eastAsia="仿宋_GB2312"/>
          <w:b/>
          <w:sz w:val="32"/>
          <w:szCs w:val="32"/>
          <w:lang w:eastAsia="zh-CN"/>
        </w:rPr>
        <w:t>部门名称：赤峰市食品药品安全监测中心</w:t>
      </w:r>
    </w:p>
    <w:p w14:paraId="701379E8">
      <w:pPr>
        <w:spacing w:line="360" w:lineRule="auto"/>
        <w:ind w:firstLine="1606" w:firstLineChars="500"/>
        <w:jc w:val="both"/>
        <w:rPr>
          <w:rFonts w:hint="eastAsia" w:ascii="仿宋_GB2312" w:hAnsi="宋体" w:eastAsia="仿宋_GB2312"/>
          <w:b/>
          <w:sz w:val="32"/>
          <w:szCs w:val="32"/>
          <w:lang w:val="en-US" w:eastAsia="zh-CN"/>
        </w:rPr>
      </w:pPr>
      <w:r>
        <w:rPr>
          <w:rFonts w:hint="eastAsia" w:ascii="仿宋_GB2312" w:hAnsi="宋体" w:eastAsia="仿宋_GB2312"/>
          <w:b/>
          <w:sz w:val="32"/>
          <w:szCs w:val="32"/>
          <w:lang w:val="en-US" w:eastAsia="zh-CN"/>
        </w:rPr>
        <w:t>单位负责人：王洪杰</w:t>
      </w:r>
    </w:p>
    <w:p w14:paraId="66045EA4">
      <w:pPr>
        <w:spacing w:line="360" w:lineRule="auto"/>
        <w:ind w:firstLine="1606" w:firstLineChars="500"/>
        <w:jc w:val="both"/>
        <w:rPr>
          <w:rFonts w:hint="eastAsia" w:ascii="仿宋_GB2312" w:hAnsi="宋体" w:eastAsia="仿宋_GB2312"/>
          <w:b/>
          <w:sz w:val="32"/>
          <w:szCs w:val="32"/>
          <w:lang w:val="en-US" w:eastAsia="zh-CN"/>
        </w:rPr>
      </w:pPr>
      <w:r>
        <w:rPr>
          <w:rFonts w:hint="eastAsia" w:ascii="仿宋_GB2312" w:hAnsi="宋体" w:eastAsia="仿宋_GB2312"/>
          <w:b/>
          <w:sz w:val="32"/>
          <w:szCs w:val="32"/>
          <w:lang w:val="en-US" w:eastAsia="zh-CN"/>
        </w:rPr>
        <w:t>财务负责人：解静伟</w:t>
      </w:r>
    </w:p>
    <w:p w14:paraId="0C5CF4D1">
      <w:pPr>
        <w:spacing w:line="360" w:lineRule="auto"/>
        <w:ind w:firstLine="1606" w:firstLineChars="500"/>
        <w:jc w:val="both"/>
        <w:rPr>
          <w:rFonts w:hint="eastAsia" w:ascii="仿宋_GB2312" w:hAnsi="宋体" w:eastAsia="仿宋_GB2312"/>
          <w:b/>
          <w:sz w:val="32"/>
          <w:szCs w:val="32"/>
          <w:lang w:val="en-US" w:eastAsia="zh-CN"/>
        </w:rPr>
      </w:pPr>
      <w:r>
        <w:rPr>
          <w:rFonts w:hint="eastAsia" w:ascii="仿宋_GB2312" w:hAnsi="宋体" w:eastAsia="仿宋_GB2312"/>
          <w:b/>
          <w:sz w:val="32"/>
          <w:szCs w:val="32"/>
          <w:lang w:val="en-US" w:eastAsia="zh-CN"/>
        </w:rPr>
        <w:t>编制人：张鹏翔</w:t>
      </w:r>
    </w:p>
    <w:p w14:paraId="29FF9433">
      <w:pPr>
        <w:spacing w:line="360" w:lineRule="auto"/>
        <w:ind w:firstLine="1606" w:firstLineChars="500"/>
        <w:jc w:val="both"/>
        <w:rPr>
          <w:rFonts w:hint="default" w:ascii="仿宋_GB2312" w:hAnsi="宋体" w:eastAsia="仿宋_GB2312"/>
          <w:b/>
          <w:sz w:val="32"/>
          <w:szCs w:val="32"/>
          <w:lang w:val="en-US" w:eastAsia="zh-CN"/>
        </w:rPr>
      </w:pPr>
      <w:r>
        <w:rPr>
          <w:rFonts w:hint="eastAsia" w:ascii="仿宋_GB2312" w:hAnsi="宋体" w:eastAsia="仿宋_GB2312"/>
          <w:b/>
          <w:sz w:val="32"/>
          <w:szCs w:val="32"/>
          <w:lang w:val="en-US" w:eastAsia="zh-CN"/>
        </w:rPr>
        <w:t>报送日期：2026年8月</w:t>
      </w:r>
    </w:p>
    <w:p w14:paraId="58363490">
      <w:pPr>
        <w:spacing w:line="360" w:lineRule="auto"/>
        <w:jc w:val="center"/>
        <w:rPr>
          <w:rFonts w:ascii="宋体" w:hAnsi="宋体"/>
          <w:b/>
          <w:bCs/>
          <w:sz w:val="52"/>
          <w:szCs w:val="52"/>
          <w:u w:val="none" w:color="auto"/>
        </w:rPr>
      </w:pPr>
    </w:p>
    <w:p w14:paraId="66F9D5F4">
      <w:pPr>
        <w:ind w:firstLine="2249" w:firstLineChars="700"/>
        <w:rPr>
          <w:rFonts w:ascii="仿宋" w:hAnsi="仿宋" w:eastAsia="仿宋"/>
          <w:b/>
          <w:sz w:val="32"/>
          <w:szCs w:val="32"/>
          <w:u w:val="none" w:color="auto"/>
        </w:rPr>
        <w:sectPr>
          <w:footerReference r:id="rId3" w:type="default"/>
          <w:pgSz w:w="11906" w:h="16838"/>
          <w:pgMar w:top="1440" w:right="1800" w:bottom="1440" w:left="1800" w:header="0" w:footer="720" w:gutter="0"/>
          <w:cols w:space="425" w:num="1"/>
          <w:docGrid w:type="lines" w:linePitch="312" w:charSpace="0"/>
        </w:sectPr>
      </w:pPr>
    </w:p>
    <w:p w14:paraId="1C9A9517">
      <w:pPr>
        <w:pStyle w:val="28"/>
        <w:widowControl/>
        <w:spacing w:after="240"/>
        <w:jc w:val="center"/>
        <w:rPr>
          <w:rFonts w:ascii="Times New Roman" w:hAnsi="Times New Roman" w:eastAsia="Times New Roman" w:cs="Times New Roman"/>
          <w:kern w:val="0"/>
          <w:sz w:val="24"/>
          <w:u w:val="none" w:color="auto"/>
        </w:rPr>
      </w:pPr>
      <w:bookmarkStart w:id="0" w:name="a000"/>
      <w:r>
        <w:rPr>
          <w:rFonts w:ascii="FangSong_GB2312" w:hAnsi="FangSong_GB2312" w:eastAsia="FangSong_GB2312" w:cs="FangSong_GB2312"/>
          <w:b/>
          <w:bCs/>
          <w:kern w:val="0"/>
          <w:sz w:val="48"/>
          <w:szCs w:val="48"/>
          <w:u w:val="none" w:color="auto"/>
        </w:rPr>
        <w:t>目录</w:t>
      </w:r>
    </w:p>
    <w:p w14:paraId="0D7A300D">
      <w:pPr>
        <w:widowControl/>
        <w:spacing w:before="240" w:after="240"/>
        <w:jc w:val="left"/>
        <w:rPr>
          <w:rFonts w:ascii="Times New Roman" w:hAnsi="Times New Roman" w:eastAsia="Times New Roman" w:cs="Times New Roman"/>
          <w:kern w:val="0"/>
          <w:sz w:val="24"/>
          <w:u w:val="none" w:color="auto"/>
        </w:rPr>
      </w:pPr>
      <w:r>
        <w:rPr>
          <w:rFonts w:ascii="Times New Roman" w:hAnsi="Times New Roman" w:eastAsia="Times New Roman" w:cs="Times New Roman"/>
          <w:b/>
          <w:bCs/>
          <w:kern w:val="0"/>
          <w:sz w:val="24"/>
          <w:u w:val="none" w:color="auto"/>
        </w:rPr>
        <w:t> </w:t>
      </w:r>
    </w:p>
    <w:p w14:paraId="482118A7">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黑体" w:hAnsi="黑体" w:eastAsia="黑体" w:cs="黑体"/>
          <w:kern w:val="0"/>
          <w:sz w:val="32"/>
          <w:szCs w:val="32"/>
          <w:u w:val="none" w:color="auto"/>
        </w:rPr>
        <w:t>第一部分</w:t>
      </w:r>
      <w:r>
        <w:rPr>
          <w:rFonts w:ascii="Calibri" w:hAnsi="Calibri" w:eastAsia="Calibri" w:cs="Calibri"/>
          <w:kern w:val="0"/>
          <w:sz w:val="32"/>
          <w:szCs w:val="32"/>
          <w:u w:val="none" w:color="auto"/>
          <w:lang w:eastAsia="en-US"/>
        </w:rPr>
        <w:t> </w:t>
      </w:r>
      <w:r>
        <w:rPr>
          <w:rFonts w:ascii="黑体" w:hAnsi="黑体" w:eastAsia="黑体" w:cs="黑体"/>
          <w:kern w:val="0"/>
          <w:sz w:val="32"/>
          <w:szCs w:val="32"/>
          <w:u w:val="none" w:color="auto"/>
          <w:lang w:eastAsia="en-US"/>
        </w:rPr>
        <w:t xml:space="preserve"> </w:t>
      </w:r>
      <w:r>
        <w:rPr>
          <w:rFonts w:ascii="黑体" w:hAnsi="黑体" w:eastAsia="黑体" w:cs="黑体"/>
          <w:kern w:val="0"/>
          <w:sz w:val="32"/>
          <w:szCs w:val="32"/>
          <w:u w:val="none" w:color="auto"/>
        </w:rPr>
        <w:t>部门（单位）概况</w:t>
      </w:r>
    </w:p>
    <w:p w14:paraId="5237D9B3">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一、主要职能、职责</w:t>
      </w:r>
    </w:p>
    <w:p w14:paraId="5554C71E">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二、部门（单位）机构设置及决算单位构成情况</w:t>
      </w:r>
    </w:p>
    <w:p w14:paraId="09EED889">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三、</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年度部门（单位）主要工作完成情况</w:t>
      </w:r>
    </w:p>
    <w:p w14:paraId="064DA8B9">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黑体" w:hAnsi="黑体" w:eastAsia="黑体" w:cs="黑体"/>
          <w:kern w:val="0"/>
          <w:sz w:val="32"/>
          <w:szCs w:val="32"/>
          <w:u w:val="none" w:color="auto"/>
        </w:rPr>
        <w:t>第二部分</w:t>
      </w:r>
      <w:r>
        <w:rPr>
          <w:rFonts w:ascii="Calibri" w:hAnsi="Calibri" w:eastAsia="Calibri" w:cs="Calibri"/>
          <w:kern w:val="0"/>
          <w:sz w:val="32"/>
          <w:szCs w:val="32"/>
          <w:u w:val="none" w:color="auto"/>
          <w:lang w:eastAsia="en-US"/>
        </w:rPr>
        <w:t> </w:t>
      </w:r>
      <w:r>
        <w:rPr>
          <w:rFonts w:ascii="黑体" w:hAnsi="黑体" w:eastAsia="黑体" w:cs="黑体"/>
          <w:kern w:val="0"/>
          <w:sz w:val="32"/>
          <w:szCs w:val="32"/>
          <w:u w:val="none" w:color="auto"/>
          <w:lang w:eastAsia="en-US"/>
        </w:rPr>
        <w:t xml:space="preserve"> </w:t>
      </w:r>
      <w:r>
        <w:rPr>
          <w:rFonts w:ascii="黑体" w:hAnsi="黑体" w:eastAsia="黑体" w:cs="黑体"/>
          <w:kern w:val="0"/>
          <w:sz w:val="32"/>
          <w:szCs w:val="32"/>
          <w:u w:val="none" w:color="auto"/>
        </w:rPr>
        <w:t>部门（单位）决算情况说明</w:t>
      </w:r>
    </w:p>
    <w:p w14:paraId="650CAD08">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一、收入支出决算总体情况说明</w:t>
      </w:r>
    </w:p>
    <w:p w14:paraId="53F4B276">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二、收入决算情况说明</w:t>
      </w:r>
    </w:p>
    <w:p w14:paraId="2BC65B4D">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三、支出决算情况说明</w:t>
      </w:r>
    </w:p>
    <w:p w14:paraId="3788D449">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四、财政拨款收入支出决算总体情况说明</w:t>
      </w:r>
    </w:p>
    <w:p w14:paraId="4384D385">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五、一般公共预算财政拨款支出决算情况说明</w:t>
      </w:r>
    </w:p>
    <w:p w14:paraId="3D177670">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六、一般公共预算财政拨款基本支出决算情况说明</w:t>
      </w:r>
    </w:p>
    <w:p w14:paraId="724FCB66">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七、一般公共预算财政拨款项目支出决算情况说明</w:t>
      </w:r>
    </w:p>
    <w:p w14:paraId="0C15DF42">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八、财政拨款“三公”经费支出决算情况说明</w:t>
      </w:r>
    </w:p>
    <w:p w14:paraId="51AEDCD5">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九、政府性基金预算财政拨款支出决算情况说明</w:t>
      </w:r>
    </w:p>
    <w:p w14:paraId="5C17621D">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十、国有资本经营预算财政拨款支出决算情况说明</w:t>
      </w:r>
    </w:p>
    <w:p w14:paraId="3EBC437C">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十一、机关运行经费（公用经费）支出决算情况说明</w:t>
      </w:r>
    </w:p>
    <w:p w14:paraId="53CF3654">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十二、政府采购支出决算情况说明</w:t>
      </w:r>
    </w:p>
    <w:p w14:paraId="4E675653">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十三、国有资产占用情况说明</w:t>
      </w:r>
    </w:p>
    <w:p w14:paraId="65B381FA">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十四、预算绩效情况说明</w:t>
      </w:r>
    </w:p>
    <w:p w14:paraId="3EE50329">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黑体" w:hAnsi="黑体" w:eastAsia="黑体" w:cs="黑体"/>
          <w:kern w:val="0"/>
          <w:sz w:val="32"/>
          <w:szCs w:val="32"/>
          <w:u w:val="none" w:color="auto"/>
        </w:rPr>
        <w:t>第三部分</w:t>
      </w:r>
      <w:r>
        <w:rPr>
          <w:rFonts w:ascii="Calibri" w:hAnsi="Calibri" w:eastAsia="Calibri" w:cs="Calibri"/>
          <w:kern w:val="0"/>
          <w:sz w:val="32"/>
          <w:szCs w:val="32"/>
          <w:u w:val="none" w:color="auto"/>
          <w:lang w:eastAsia="en-US"/>
        </w:rPr>
        <w:t> </w:t>
      </w:r>
      <w:r>
        <w:rPr>
          <w:rFonts w:ascii="黑体" w:hAnsi="黑体" w:eastAsia="黑体" w:cs="黑体"/>
          <w:kern w:val="0"/>
          <w:sz w:val="32"/>
          <w:szCs w:val="32"/>
          <w:u w:val="none" w:color="auto"/>
          <w:lang w:eastAsia="en-US"/>
        </w:rPr>
        <w:t xml:space="preserve"> </w:t>
      </w:r>
      <w:r>
        <w:rPr>
          <w:rFonts w:ascii="黑体" w:hAnsi="黑体" w:eastAsia="黑体" w:cs="黑体"/>
          <w:kern w:val="0"/>
          <w:sz w:val="32"/>
          <w:szCs w:val="32"/>
          <w:u w:val="none" w:color="auto"/>
        </w:rPr>
        <w:t>名词解释</w:t>
      </w:r>
    </w:p>
    <w:p w14:paraId="6535DFC6">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黑体" w:hAnsi="黑体" w:eastAsia="黑体" w:cs="黑体"/>
          <w:kern w:val="0"/>
          <w:sz w:val="32"/>
          <w:szCs w:val="32"/>
          <w:u w:val="none" w:color="auto"/>
        </w:rPr>
        <w:t>第四部分</w:t>
      </w:r>
      <w:r>
        <w:rPr>
          <w:rFonts w:ascii="Calibri" w:hAnsi="Calibri" w:eastAsia="Calibri" w:cs="Calibri"/>
          <w:kern w:val="0"/>
          <w:sz w:val="32"/>
          <w:szCs w:val="32"/>
          <w:u w:val="none" w:color="auto"/>
          <w:lang w:eastAsia="en-US"/>
        </w:rPr>
        <w:t> </w:t>
      </w:r>
      <w:r>
        <w:rPr>
          <w:rFonts w:ascii="黑体" w:hAnsi="黑体" w:eastAsia="黑体" w:cs="黑体"/>
          <w:kern w:val="0"/>
          <w:sz w:val="32"/>
          <w:szCs w:val="32"/>
          <w:u w:val="none" w:color="auto"/>
          <w:lang w:eastAsia="en-US"/>
        </w:rPr>
        <w:t xml:space="preserve"> </w:t>
      </w:r>
      <w:r>
        <w:rPr>
          <w:rFonts w:ascii="黑体" w:hAnsi="黑体" w:eastAsia="黑体" w:cs="黑体"/>
          <w:kern w:val="0"/>
          <w:sz w:val="32"/>
          <w:szCs w:val="32"/>
          <w:u w:val="none" w:color="auto"/>
        </w:rPr>
        <w:t>决算公开联系方式及信息反馈渠道</w:t>
      </w:r>
    </w:p>
    <w:p w14:paraId="506FB8EF">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黑体" w:hAnsi="黑体" w:eastAsia="黑体" w:cs="黑体"/>
          <w:kern w:val="0"/>
          <w:sz w:val="32"/>
          <w:szCs w:val="32"/>
          <w:u w:val="none" w:color="auto"/>
        </w:rPr>
        <w:t>第五部分</w:t>
      </w:r>
      <w:r>
        <w:rPr>
          <w:rFonts w:ascii="Calibri" w:hAnsi="Calibri" w:eastAsia="Calibri" w:cs="Calibri"/>
          <w:kern w:val="0"/>
          <w:sz w:val="32"/>
          <w:szCs w:val="32"/>
          <w:u w:val="none" w:color="auto"/>
          <w:lang w:eastAsia="en-US"/>
        </w:rPr>
        <w:t> </w:t>
      </w:r>
      <w:r>
        <w:rPr>
          <w:rFonts w:ascii="黑体" w:hAnsi="黑体" w:eastAsia="黑体" w:cs="黑体"/>
          <w:kern w:val="0"/>
          <w:sz w:val="32"/>
          <w:szCs w:val="32"/>
          <w:u w:val="none" w:color="auto"/>
          <w:lang w:eastAsia="en-US"/>
        </w:rPr>
        <w:t xml:space="preserve"> </w:t>
      </w:r>
      <w:r>
        <w:rPr>
          <w:rFonts w:ascii="黑体" w:hAnsi="黑体" w:eastAsia="黑体" w:cs="黑体"/>
          <w:kern w:val="0"/>
          <w:sz w:val="32"/>
          <w:szCs w:val="32"/>
          <w:u w:val="none" w:color="auto"/>
        </w:rPr>
        <w:t>部门（单位）决算表</w:t>
      </w:r>
    </w:p>
    <w:p w14:paraId="2F19A11F">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一、收入支出决算总表</w:t>
      </w:r>
    </w:p>
    <w:p w14:paraId="35E41D6A">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二、收入决算表</w:t>
      </w:r>
    </w:p>
    <w:p w14:paraId="2E546F08">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三、支出决算表</w:t>
      </w:r>
    </w:p>
    <w:p w14:paraId="3313A97F">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四、财政拨款收入支出决算总表</w:t>
      </w:r>
    </w:p>
    <w:p w14:paraId="63A0364B">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五、一般公共预算财政拨款支出决算表</w:t>
      </w:r>
    </w:p>
    <w:p w14:paraId="291FA1BB">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六、一般公共预算财政拨款基本支出决算明细表</w:t>
      </w:r>
    </w:p>
    <w:p w14:paraId="0CA3B816">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七、一般公共预算财政拨款项目支出决算明细表</w:t>
      </w:r>
    </w:p>
    <w:p w14:paraId="1240D1D2">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八、政府性基金预算财政拨款收入支出决算表</w:t>
      </w:r>
    </w:p>
    <w:p w14:paraId="044F5B10">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九、国有资本经营预算财政拨款收入支出决算表</w:t>
      </w:r>
    </w:p>
    <w:p w14:paraId="186839ED">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十、财政拨款“三公”经费支出决算表</w:t>
      </w:r>
    </w:p>
    <w:p w14:paraId="4D54B141">
      <w:pPr>
        <w:pStyle w:val="28"/>
        <w:widowControl/>
        <w:spacing w:before="240" w:after="240" w:line="360" w:lineRule="auto"/>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十一、机关运行经费支出、国有资产占用情况及政府采购支出信息表</w:t>
      </w:r>
    </w:p>
    <w:p w14:paraId="3C61A2E0">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720B9B49">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738BE4B5">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4A657F0C">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3ABE85FF">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01B3D9FF">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6FA7772C">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58B3F8EF">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716A60A3">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181360AF">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4980E9CB">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23A44821">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6D2FA124">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368CC59B">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1745AD9A">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20E2A925">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100326D3">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u w:val="none" w:color="auto"/>
        </w:rPr>
      </w:pPr>
    </w:p>
    <w:p w14:paraId="7868B7F5">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u w:val="none" w:color="auto"/>
        </w:rPr>
      </w:pPr>
      <w:r>
        <w:rPr>
          <w:rFonts w:ascii="方正小标宋简体" w:hAnsi="方正小标宋简体" w:eastAsia="方正小标宋简体" w:cs="方正小标宋简体"/>
          <w:b w:val="0"/>
          <w:bCs w:val="0"/>
          <w:kern w:val="0"/>
          <w:sz w:val="36"/>
          <w:szCs w:val="36"/>
          <w:u w:val="none" w:color="auto"/>
        </w:rPr>
        <w:t>第一部分</w:t>
      </w:r>
      <w:r>
        <w:rPr>
          <w:rFonts w:ascii="方正小标宋简体" w:hAnsi="方正小标宋简体" w:eastAsia="方正小标宋简体" w:cs="方正小标宋简体"/>
          <w:b w:val="0"/>
          <w:bCs w:val="0"/>
          <w:kern w:val="0"/>
          <w:sz w:val="36"/>
          <w:szCs w:val="36"/>
          <w:u w:val="none" w:color="auto"/>
          <w:lang w:eastAsia="en-US"/>
        </w:rPr>
        <w:t xml:space="preserve">  </w:t>
      </w:r>
      <w:r>
        <w:rPr>
          <w:rFonts w:ascii="方正小标宋简体" w:hAnsi="方正小标宋简体" w:eastAsia="方正小标宋简体" w:cs="方正小标宋简体"/>
          <w:b w:val="0"/>
          <w:bCs w:val="0"/>
          <w:kern w:val="0"/>
          <w:sz w:val="36"/>
          <w:szCs w:val="36"/>
          <w:u w:val="none" w:color="auto"/>
        </w:rPr>
        <w:t>部门（单位）概况</w:t>
      </w:r>
    </w:p>
    <w:p w14:paraId="43036317">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一、主要职能、职责</w:t>
      </w:r>
    </w:p>
    <w:p w14:paraId="7C60A21A">
      <w:pPr>
        <w:widowControl/>
        <w:spacing w:before="240" w:after="240"/>
        <w:ind w:firstLine="640" w:firstLineChars="2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赤峰市食品药品安全监测中心隶属于赤峰市市场管理局。赤峰市食品药品安全监测中心具体负责承担赤峰市辖区内市本级食品药品监督抽检、风险监测、核查处置、重大活动食品安全保障、食品药品市场监管重点环节风险防控及食品药品职业化检查审查的技术支撑和辅助性工作，协助市市场监督管理局开展监督检查、食品药品相关知识的业务培训工作，完成市市场监督管理局交办的其他任务。</w:t>
      </w:r>
    </w:p>
    <w:p w14:paraId="18238A99">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二、部门（单位）机构设置及决算单位构成情况</w:t>
      </w:r>
    </w:p>
    <w:p w14:paraId="0217436C">
      <w:pPr>
        <w:widowControl/>
        <w:spacing w:before="240" w:after="240"/>
        <w:ind w:firstLine="640" w:firstLineChars="2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1.根据单位职责分工，本单位内设机构包括领导室，综合办公室和业务室。赤峰市食品药品安全监测中心为正科级财政拨款事业单位（公益一类）。报表类型为：单户表。人员情况：年末独立核算机构数：1个，在职人员：23 人，离休人员：0人，退休人员：2人，实有人数28人，一般公共预算财政拨款开支人员：28人，年末遗属人员：0人。本单位无下属单位。</w:t>
      </w:r>
    </w:p>
    <w:p w14:paraId="4AFFAE94">
      <w:pPr>
        <w:widowControl/>
        <w:spacing w:before="240" w:after="240"/>
        <w:ind w:firstLine="640" w:firstLineChars="2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 2.从决算单位构成看，纳入本财政汇总决算编制范围的预算单位共计1家。详细情况见表：</w:t>
      </w:r>
    </w:p>
    <w:tbl>
      <w:tblPr>
        <w:tblStyle w:val="18"/>
        <w:tblpPr w:leftFromText="180" w:rightFromText="180" w:vertAnchor="page" w:horzAnchor="page" w:tblpX="1949" w:tblpY="1893"/>
        <w:tblOverlap w:val="never"/>
        <w:tblW w:w="842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82"/>
        <w:gridCol w:w="4734"/>
        <w:gridCol w:w="2808"/>
      </w:tblGrid>
      <w:tr w14:paraId="38087D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574" w:hRule="atLeast"/>
        </w:trPr>
        <w:tc>
          <w:tcPr>
            <w:tcW w:w="882" w:type="dxa"/>
            <w:tcBorders>
              <w:top w:val="outset" w:color="auto" w:sz="6" w:space="0"/>
              <w:left w:val="outset" w:color="auto" w:sz="6" w:space="0"/>
              <w:bottom w:val="outset" w:color="auto" w:sz="6" w:space="0"/>
              <w:right w:val="outset" w:color="auto" w:sz="6" w:space="0"/>
            </w:tcBorders>
            <w:vAlign w:val="center"/>
          </w:tcPr>
          <w:p w14:paraId="7166D33A">
            <w:pPr>
              <w:widowControl/>
              <w:spacing w:before="240" w:after="24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序号</w:t>
            </w:r>
          </w:p>
        </w:tc>
        <w:tc>
          <w:tcPr>
            <w:tcW w:w="4734" w:type="dxa"/>
            <w:tcBorders>
              <w:top w:val="outset" w:color="auto" w:sz="6" w:space="0"/>
              <w:left w:val="outset" w:color="auto" w:sz="6" w:space="0"/>
              <w:bottom w:val="outset" w:color="auto" w:sz="6" w:space="0"/>
              <w:right w:val="outset" w:color="auto" w:sz="6" w:space="0"/>
            </w:tcBorders>
            <w:vAlign w:val="center"/>
          </w:tcPr>
          <w:p w14:paraId="5F209A9E">
            <w:pPr>
              <w:widowControl/>
              <w:spacing w:before="240" w:after="240"/>
              <w:ind w:firstLine="1920" w:firstLineChars="6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单位名称</w:t>
            </w:r>
          </w:p>
        </w:tc>
        <w:tc>
          <w:tcPr>
            <w:tcW w:w="2808" w:type="dxa"/>
            <w:tcBorders>
              <w:top w:val="outset" w:color="auto" w:sz="6" w:space="0"/>
              <w:left w:val="outset" w:color="auto" w:sz="6" w:space="0"/>
              <w:bottom w:val="outset" w:color="auto" w:sz="6" w:space="0"/>
              <w:right w:val="outset" w:color="auto" w:sz="6" w:space="0"/>
            </w:tcBorders>
            <w:vAlign w:val="center"/>
          </w:tcPr>
          <w:p w14:paraId="0C1B5B6C">
            <w:pPr>
              <w:widowControl/>
              <w:spacing w:before="240" w:after="240"/>
              <w:ind w:firstLine="640" w:firstLineChars="2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单位性质</w:t>
            </w:r>
          </w:p>
        </w:tc>
      </w:tr>
      <w:tr w14:paraId="7BA56D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60" w:hRule="atLeast"/>
        </w:trPr>
        <w:tc>
          <w:tcPr>
            <w:tcW w:w="882" w:type="dxa"/>
            <w:tcBorders>
              <w:top w:val="outset" w:color="auto" w:sz="6" w:space="0"/>
              <w:left w:val="outset" w:color="auto" w:sz="6" w:space="0"/>
              <w:bottom w:val="outset" w:color="auto" w:sz="6" w:space="0"/>
              <w:right w:val="outset" w:color="auto" w:sz="6" w:space="0"/>
            </w:tcBorders>
            <w:vAlign w:val="center"/>
          </w:tcPr>
          <w:p w14:paraId="0E52E10D">
            <w:pPr>
              <w:widowControl/>
              <w:spacing w:before="240" w:after="240"/>
              <w:ind w:firstLine="320" w:firstLineChars="1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1</w:t>
            </w:r>
          </w:p>
        </w:tc>
        <w:tc>
          <w:tcPr>
            <w:tcW w:w="4734" w:type="dxa"/>
            <w:tcBorders>
              <w:top w:val="outset" w:color="auto" w:sz="6" w:space="0"/>
              <w:left w:val="outset" w:color="auto" w:sz="6" w:space="0"/>
              <w:bottom w:val="outset" w:color="auto" w:sz="6" w:space="0"/>
              <w:right w:val="outset" w:color="auto" w:sz="6" w:space="0"/>
            </w:tcBorders>
            <w:vAlign w:val="center"/>
          </w:tcPr>
          <w:p w14:paraId="37F6FBBD">
            <w:pPr>
              <w:widowControl/>
              <w:spacing w:before="240" w:after="240"/>
              <w:ind w:firstLine="320" w:firstLineChars="1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赤峰市食品药品安全监测中心</w:t>
            </w:r>
          </w:p>
        </w:tc>
        <w:tc>
          <w:tcPr>
            <w:tcW w:w="2808" w:type="dxa"/>
            <w:tcBorders>
              <w:top w:val="outset" w:color="auto" w:sz="6" w:space="0"/>
              <w:left w:val="outset" w:color="auto" w:sz="6" w:space="0"/>
              <w:bottom w:val="outset" w:color="auto" w:sz="6" w:space="0"/>
              <w:right w:val="outset" w:color="auto" w:sz="6" w:space="0"/>
            </w:tcBorders>
            <w:vAlign w:val="center"/>
          </w:tcPr>
          <w:p w14:paraId="1D1E6F22">
            <w:pPr>
              <w:widowControl/>
              <w:spacing w:before="240" w:after="24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公益一类事业单位</w:t>
            </w:r>
          </w:p>
        </w:tc>
      </w:tr>
    </w:tbl>
    <w:p w14:paraId="00416608">
      <w:pPr>
        <w:widowControl/>
        <w:spacing w:before="240" w:after="240"/>
        <w:jc w:val="left"/>
        <w:rPr>
          <w:rFonts w:ascii="Times New Roman" w:hAnsi="Times New Roman" w:eastAsia="Times New Roman" w:cs="Times New Roman"/>
          <w:kern w:val="0"/>
          <w:sz w:val="24"/>
          <w:u w:val="none" w:color="auto"/>
        </w:rPr>
      </w:pPr>
      <w:r>
        <w:rPr>
          <w:rFonts w:ascii="Calibri" w:hAnsi="Calibri" w:eastAsia="Calibri" w:cs="Calibri"/>
          <w:b/>
          <w:bCs/>
          <w:kern w:val="0"/>
          <w:sz w:val="27"/>
          <w:szCs w:val="27"/>
          <w:u w:val="none" w:color="auto"/>
        </w:rPr>
        <w:t> </w:t>
      </w:r>
      <w:r>
        <w:rPr>
          <w:rFonts w:ascii="黑体" w:hAnsi="黑体" w:eastAsia="黑体" w:cs="黑体"/>
          <w:b/>
          <w:bCs/>
          <w:kern w:val="0"/>
          <w:sz w:val="32"/>
          <w:szCs w:val="32"/>
          <w:u w:val="none" w:color="auto"/>
        </w:rPr>
        <w:t>三、</w:t>
      </w:r>
      <w:r>
        <w:rPr>
          <w:rFonts w:eastAsia="Times New Roman"/>
          <w:b/>
          <w:bCs/>
          <w:kern w:val="0"/>
          <w:sz w:val="32"/>
          <w:szCs w:val="32"/>
          <w:u w:val="none" w:color="auto"/>
          <w:lang w:eastAsia="en-US"/>
        </w:rPr>
        <w:t>2025</w:t>
      </w:r>
      <w:r>
        <w:rPr>
          <w:rFonts w:ascii="黑体" w:hAnsi="黑体" w:eastAsia="黑体" w:cs="黑体"/>
          <w:b/>
          <w:bCs/>
          <w:kern w:val="0"/>
          <w:sz w:val="32"/>
          <w:szCs w:val="32"/>
          <w:u w:val="none" w:color="auto"/>
        </w:rPr>
        <w:t>年度部门（单位）主要工作完成情况</w:t>
      </w:r>
    </w:p>
    <w:p w14:paraId="48176BB9">
      <w:pPr>
        <w:widowControl/>
        <w:spacing w:before="240" w:after="240"/>
        <w:ind w:firstLine="640" w:firstLineChars="2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1.由我中心具体负责的2025年列入自治区计划的盟市药品监督抽检任务圆满完成。共抽取中西成药44个品种88批次、中药材及中药饮片22批次，完成率达到100%。</w:t>
      </w:r>
    </w:p>
    <w:p w14:paraId="5C24C0D4">
      <w:pPr>
        <w:widowControl/>
        <w:spacing w:before="240" w:after="240"/>
        <w:ind w:firstLine="640" w:firstLineChars="200"/>
        <w:jc w:val="left"/>
        <w:rPr>
          <w:rFonts w:hint="eastAsia" w:ascii="FangSong_GB2312" w:hAnsi="FangSong_GB2312" w:eastAsia="FangSong_GB2312" w:cs="FangSong_GB2312"/>
          <w:kern w:val="0"/>
          <w:sz w:val="32"/>
          <w:szCs w:val="32"/>
          <w:u w:val="none" w:color="auto"/>
          <w:lang w:val="en-US" w:eastAsia="zh-CN" w:bidi="ar-SA"/>
        </w:rPr>
      </w:pPr>
      <w:r>
        <w:rPr>
          <w:rFonts w:hint="eastAsia" w:ascii="FangSong_GB2312" w:hAnsi="FangSong_GB2312" w:eastAsia="FangSong_GB2312" w:cs="FangSong_GB2312"/>
          <w:kern w:val="0"/>
          <w:sz w:val="32"/>
          <w:szCs w:val="32"/>
          <w:u w:val="none" w:color="auto"/>
          <w:lang w:val="en-US" w:eastAsia="zh-CN" w:bidi="ar-SA"/>
        </w:rPr>
        <w:t>2.2025年赤峰市食品药品安全监测中心坚持“以抽检监测为中心，抽、监、帮相结合”的工作方针，在严格遵循相关法律与规章制度的前提下，公开招标了5家资质齐全、业务能力出众的食品检测机构，高效完成市本级2700批次的抽检任务，其中并帮扶旗县区完成1300批次市级转移任务，取得了一系列显著成果与成效。由市本级抽检的2700批次里，聚焦日常消费量大、风险隐患高的食品品类，如生鲜肉品、乳制品、食用油等。通过严格检测，共发现不合格产品43批次。针对不合格产品，迅速溯源追踪，彻查问题源头，责令生产经营企业立即整改，并依法予以处罚，有效防止问题食品流入更多消费环节，保障民众餐桌安全。通过向旗县区转移1300批次的抽检任务，市局本级充分发挥引领作用，实现了监管资源的优化配置。在抽检过程中，协助旗县区建立完善的食品安全风险防控体系，使旗县区在日常监管中能够更精准地发现问题、解决问题。旗县区依据此次抽检结果，成功查处多起违法违规案件，有效净化了当地市场环境。</w:t>
      </w:r>
    </w:p>
    <w:p w14:paraId="0E718C0A">
      <w:pPr>
        <w:widowControl/>
        <w:spacing w:before="240" w:after="240"/>
        <w:jc w:val="left"/>
        <w:rPr>
          <w:rFonts w:ascii="Times New Roman" w:hAnsi="Times New Roman" w:eastAsia="Times New Roman" w:cs="Times New Roman"/>
          <w:kern w:val="0"/>
          <w:sz w:val="24"/>
          <w:u w:val="none" w:color="auto"/>
        </w:rPr>
      </w:pPr>
    </w:p>
    <w:p w14:paraId="3CC3756E">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u w:val="none" w:color="auto"/>
        </w:rPr>
      </w:pPr>
      <w:r>
        <w:rPr>
          <w:rFonts w:ascii="方正小标宋简体" w:hAnsi="方正小标宋简体" w:eastAsia="方正小标宋简体" w:cs="方正小标宋简体"/>
          <w:kern w:val="0"/>
          <w:sz w:val="36"/>
          <w:szCs w:val="36"/>
          <w:u w:val="none" w:color="auto"/>
        </w:rPr>
        <w:t>第二部分</w:t>
      </w:r>
      <w:r>
        <w:rPr>
          <w:rFonts w:ascii="Times New Roman" w:hAnsi="Times New Roman" w:eastAsia="Times New Roman" w:cs="Times New Roman"/>
          <w:kern w:val="0"/>
          <w:sz w:val="36"/>
          <w:szCs w:val="36"/>
          <w:u w:val="none" w:color="auto"/>
        </w:rPr>
        <w:t> </w:t>
      </w:r>
      <w:r>
        <w:rPr>
          <w:rFonts w:ascii="方正小标宋简体" w:hAnsi="方正小标宋简体" w:eastAsia="方正小标宋简体" w:cs="方正小标宋简体"/>
          <w:b w:val="0"/>
          <w:bCs w:val="0"/>
          <w:kern w:val="0"/>
          <w:sz w:val="36"/>
          <w:szCs w:val="36"/>
          <w:u w:val="none" w:color="auto"/>
        </w:rPr>
        <w:t xml:space="preserve"> </w:t>
      </w:r>
      <w:r>
        <w:rPr>
          <w:rFonts w:ascii="方正小标宋简体" w:hAnsi="方正小标宋简体" w:eastAsia="方正小标宋简体" w:cs="方正小标宋简体"/>
          <w:kern w:val="0"/>
          <w:sz w:val="36"/>
          <w:szCs w:val="36"/>
          <w:u w:val="none" w:color="auto"/>
        </w:rPr>
        <w:t>部门（单位）决算情况说明</w:t>
      </w:r>
    </w:p>
    <w:p w14:paraId="2100C335">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一、收入支出决算总体情况说明</w:t>
      </w:r>
    </w:p>
    <w:p w14:paraId="0B032A57">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 xml:space="preserve">赤峰市食品药品安全监测中心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年度收入、支出决算总计均为</w:t>
      </w:r>
      <w:r>
        <w:rPr>
          <w:rFonts w:eastAsia="Times New Roman"/>
          <w:kern w:val="0"/>
          <w:sz w:val="32"/>
          <w:szCs w:val="32"/>
          <w:u w:val="none" w:color="auto"/>
          <w:lang w:eastAsia="en-US"/>
        </w:rPr>
        <w:t xml:space="preserve"> 717.94</w:t>
      </w:r>
      <w:r>
        <w:rPr>
          <w:rFonts w:ascii="FangSong_GB2312" w:hAnsi="FangSong_GB2312" w:eastAsia="FangSong_GB2312" w:cs="FangSong_GB2312"/>
          <w:kern w:val="0"/>
          <w:sz w:val="32"/>
          <w:szCs w:val="32"/>
          <w:u w:val="none" w:color="auto"/>
        </w:rPr>
        <w:t>万元。与年初预算相比，收、支总计各减少</w:t>
      </w:r>
      <w:r>
        <w:rPr>
          <w:rFonts w:eastAsia="Times New Roman"/>
          <w:kern w:val="0"/>
          <w:sz w:val="32"/>
          <w:szCs w:val="32"/>
          <w:u w:val="none" w:color="auto"/>
          <w:lang w:eastAsia="en-US"/>
        </w:rPr>
        <w:t>336.14</w:t>
      </w:r>
      <w:r>
        <w:rPr>
          <w:rFonts w:ascii="FangSong_GB2312" w:hAnsi="FangSong_GB2312" w:eastAsia="FangSong_GB2312" w:cs="FangSong_GB2312"/>
          <w:kern w:val="0"/>
          <w:sz w:val="32"/>
          <w:szCs w:val="32"/>
          <w:u w:val="none" w:color="auto"/>
        </w:rPr>
        <w:t>万元，下降</w:t>
      </w:r>
      <w:r>
        <w:rPr>
          <w:rFonts w:eastAsia="Times New Roman"/>
          <w:kern w:val="0"/>
          <w:sz w:val="32"/>
          <w:szCs w:val="32"/>
          <w:u w:val="none" w:color="auto"/>
          <w:lang w:eastAsia="en-US"/>
        </w:rPr>
        <w:t>31.89</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val="en-US" w:eastAsia="zh-CN"/>
        </w:rPr>
        <w:t>2024年和2025年食品安全监督抽检项目中标的抽检机构的委托业务费未完全支付的情况</w:t>
      </w:r>
      <w:r>
        <w:rPr>
          <w:rFonts w:ascii="FangSong_GB2312" w:hAnsi="FangSong_GB2312" w:eastAsia="FangSong_GB2312" w:cs="FangSong_GB2312"/>
          <w:kern w:val="0"/>
          <w:sz w:val="32"/>
          <w:szCs w:val="32"/>
          <w:u w:val="none" w:color="auto"/>
        </w:rPr>
        <w:t>；与上年决算相比，收、支总计各增加</w:t>
      </w:r>
      <w:r>
        <w:rPr>
          <w:rFonts w:eastAsia="Times New Roman"/>
          <w:kern w:val="0"/>
          <w:sz w:val="32"/>
          <w:szCs w:val="32"/>
          <w:u w:val="none" w:color="auto"/>
          <w:lang w:eastAsia="en-US"/>
        </w:rPr>
        <w:t xml:space="preserve"> 28.73</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4.17</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。其中：</w:t>
      </w:r>
    </w:p>
    <w:p w14:paraId="6A14556D">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（一）收入决算总计</w:t>
      </w:r>
      <w:r>
        <w:rPr>
          <w:rFonts w:eastAsia="Times New Roman"/>
          <w:b/>
          <w:bCs/>
          <w:kern w:val="0"/>
          <w:sz w:val="32"/>
          <w:szCs w:val="32"/>
          <w:u w:val="none" w:color="auto"/>
          <w:lang w:eastAsia="en-US"/>
        </w:rPr>
        <w:t xml:space="preserve"> 717.94</w:t>
      </w:r>
      <w:r>
        <w:rPr>
          <w:rFonts w:ascii="楷体" w:hAnsi="楷体" w:eastAsia="楷体" w:cs="楷体"/>
          <w:b/>
          <w:bCs/>
          <w:kern w:val="0"/>
          <w:sz w:val="32"/>
          <w:szCs w:val="32"/>
          <w:u w:val="none" w:color="auto"/>
        </w:rPr>
        <w:t>万元。包括：</w:t>
      </w:r>
    </w:p>
    <w:p w14:paraId="3FF122E5">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kern w:val="0"/>
          <w:sz w:val="32"/>
          <w:szCs w:val="32"/>
          <w:u w:val="none" w:color="auto"/>
          <w:lang w:eastAsia="en-US"/>
        </w:rPr>
        <w:t>1</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本年收入决算合计</w:t>
      </w:r>
      <w:r>
        <w:rPr>
          <w:rFonts w:eastAsia="Times New Roman"/>
          <w:kern w:val="0"/>
          <w:sz w:val="32"/>
          <w:szCs w:val="32"/>
          <w:u w:val="none" w:color="auto"/>
          <w:lang w:eastAsia="en-US"/>
        </w:rPr>
        <w:t xml:space="preserve"> 717.94</w:t>
      </w:r>
      <w:r>
        <w:rPr>
          <w:rFonts w:ascii="FangSong_GB2312" w:hAnsi="FangSong_GB2312" w:eastAsia="FangSong_GB2312" w:cs="FangSong_GB2312"/>
          <w:kern w:val="0"/>
          <w:sz w:val="32"/>
          <w:szCs w:val="32"/>
          <w:u w:val="none" w:color="auto"/>
        </w:rPr>
        <w:t>万元。与上年决算相比，增加</w:t>
      </w:r>
      <w:r>
        <w:rPr>
          <w:rFonts w:eastAsia="Times New Roman"/>
          <w:kern w:val="0"/>
          <w:sz w:val="32"/>
          <w:szCs w:val="32"/>
          <w:u w:val="none" w:color="auto"/>
          <w:lang w:eastAsia="en-US"/>
        </w:rPr>
        <w:t xml:space="preserve"> 28.73</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4.17</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eastAsia="zh-CN"/>
        </w:rPr>
        <w:t>项目经费收入含上年结转的变动情况</w:t>
      </w:r>
      <w:r>
        <w:rPr>
          <w:rFonts w:ascii="FangSong_GB2312" w:hAnsi="FangSong_GB2312" w:eastAsia="FangSong_GB2312" w:cs="FangSong_GB2312"/>
          <w:kern w:val="0"/>
          <w:sz w:val="32"/>
          <w:szCs w:val="32"/>
          <w:u w:val="none" w:color="auto"/>
        </w:rPr>
        <w:t>。</w:t>
      </w:r>
    </w:p>
    <w:p w14:paraId="59E62214">
      <w:pPr>
        <w:pStyle w:val="28"/>
        <w:widowControl/>
        <w:spacing w:before="240" w:after="240" w:line="560" w:lineRule="atLeast"/>
        <w:ind w:firstLine="640"/>
        <w:jc w:val="left"/>
        <w:rPr>
          <w:rFonts w:ascii="FangSong_GB2312" w:hAnsi="FangSong_GB2312" w:eastAsia="FangSong_GB2312" w:cs="FangSong_GB2312"/>
          <w:kern w:val="0"/>
          <w:sz w:val="32"/>
          <w:szCs w:val="32"/>
          <w:u w:val="none" w:color="auto"/>
        </w:rPr>
      </w:pPr>
      <w:r>
        <w:rPr>
          <w:rFonts w:eastAsia="Times New Roman"/>
          <w:kern w:val="0"/>
          <w:sz w:val="32"/>
          <w:szCs w:val="32"/>
          <w:u w:val="none" w:color="auto"/>
          <w:lang w:eastAsia="en-US"/>
        </w:rPr>
        <w:t>2</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使用非财政拨款结余（含专用结余）</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万元。与上年决算相比，增加</w:t>
      </w:r>
      <w:r>
        <w:rPr>
          <w:rFonts w:eastAsia="Times New Roman"/>
          <w:kern w:val="0"/>
          <w:sz w:val="32"/>
          <w:szCs w:val="32"/>
          <w:u w:val="none" w:color="auto"/>
          <w:lang w:eastAsia="en-US"/>
        </w:rPr>
        <w:t>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val="en-US" w:eastAsia="zh-CN"/>
        </w:rPr>
        <w:t>主要原因说明为不存在此项内容</w:t>
      </w:r>
      <w:r>
        <w:rPr>
          <w:rFonts w:ascii="FangSong_GB2312" w:hAnsi="FangSong_GB2312" w:eastAsia="FangSong_GB2312" w:cs="FangSong_GB2312"/>
          <w:kern w:val="0"/>
          <w:sz w:val="32"/>
          <w:szCs w:val="32"/>
          <w:u w:val="none" w:color="auto"/>
        </w:rPr>
        <w:t>。</w:t>
      </w:r>
    </w:p>
    <w:p w14:paraId="2E31AC0C">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kern w:val="0"/>
          <w:sz w:val="32"/>
          <w:szCs w:val="32"/>
          <w:u w:val="none" w:color="auto"/>
          <w:lang w:eastAsia="en-US"/>
        </w:rPr>
        <w:t>3</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年初结转和结余</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万元。与上年决算相比，增加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val="en-US" w:eastAsia="zh-CN"/>
        </w:rPr>
        <w:t>主要原因说明为不存在此项内容</w:t>
      </w:r>
      <w:r>
        <w:rPr>
          <w:rFonts w:ascii="FangSong_GB2312" w:hAnsi="FangSong_GB2312" w:eastAsia="FangSong_GB2312" w:cs="FangSong_GB2312"/>
          <w:kern w:val="0"/>
          <w:sz w:val="32"/>
          <w:szCs w:val="32"/>
          <w:u w:val="none" w:color="auto"/>
        </w:rPr>
        <w:t>。</w:t>
      </w:r>
    </w:p>
    <w:p w14:paraId="4BBECAEC">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（二）支出决算总计</w:t>
      </w:r>
      <w:r>
        <w:rPr>
          <w:rFonts w:eastAsia="Times New Roman"/>
          <w:b/>
          <w:bCs/>
          <w:kern w:val="0"/>
          <w:sz w:val="32"/>
          <w:szCs w:val="32"/>
          <w:u w:val="none" w:color="auto"/>
          <w:lang w:eastAsia="en-US"/>
        </w:rPr>
        <w:t xml:space="preserve"> 717.94</w:t>
      </w:r>
      <w:r>
        <w:rPr>
          <w:rFonts w:ascii="楷体" w:hAnsi="楷体" w:eastAsia="楷体" w:cs="楷体"/>
          <w:b/>
          <w:bCs/>
          <w:kern w:val="0"/>
          <w:sz w:val="32"/>
          <w:szCs w:val="32"/>
          <w:u w:val="none" w:color="auto"/>
        </w:rPr>
        <w:t>万元。包括：</w:t>
      </w:r>
    </w:p>
    <w:p w14:paraId="74AB6E2A">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kern w:val="0"/>
          <w:sz w:val="32"/>
          <w:szCs w:val="32"/>
          <w:u w:val="none" w:color="auto"/>
          <w:lang w:eastAsia="en-US"/>
        </w:rPr>
        <w:t>1</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本年支出决算合计</w:t>
      </w:r>
      <w:r>
        <w:rPr>
          <w:rFonts w:eastAsia="Times New Roman"/>
          <w:kern w:val="0"/>
          <w:sz w:val="32"/>
          <w:szCs w:val="32"/>
          <w:u w:val="none" w:color="auto"/>
          <w:lang w:eastAsia="en-US"/>
        </w:rPr>
        <w:t xml:space="preserve"> 717.94</w:t>
      </w:r>
      <w:r>
        <w:rPr>
          <w:rFonts w:ascii="FangSong_GB2312" w:hAnsi="FangSong_GB2312" w:eastAsia="FangSong_GB2312" w:cs="FangSong_GB2312"/>
          <w:kern w:val="0"/>
          <w:sz w:val="32"/>
          <w:szCs w:val="32"/>
          <w:u w:val="none" w:color="auto"/>
        </w:rPr>
        <w:t>万元。与上年决算相比，增加</w:t>
      </w:r>
      <w:r>
        <w:rPr>
          <w:rFonts w:eastAsia="Times New Roman"/>
          <w:kern w:val="0"/>
          <w:sz w:val="32"/>
          <w:szCs w:val="32"/>
          <w:u w:val="none" w:color="auto"/>
          <w:lang w:eastAsia="en-US"/>
        </w:rPr>
        <w:t xml:space="preserve"> 28.73</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4.17</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eastAsia="zh-CN"/>
        </w:rPr>
        <w:t>项目经费收入含上年结转的变动情况</w:t>
      </w:r>
      <w:r>
        <w:rPr>
          <w:rFonts w:ascii="FangSong_GB2312" w:hAnsi="FangSong_GB2312" w:eastAsia="FangSong_GB2312" w:cs="FangSong_GB2312"/>
          <w:kern w:val="0"/>
          <w:sz w:val="32"/>
          <w:szCs w:val="32"/>
          <w:u w:val="none" w:color="auto"/>
        </w:rPr>
        <w:t>。</w:t>
      </w:r>
    </w:p>
    <w:p w14:paraId="488741D3">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kern w:val="0"/>
          <w:sz w:val="32"/>
          <w:szCs w:val="32"/>
          <w:u w:val="none" w:color="auto"/>
          <w:lang w:eastAsia="en-US"/>
        </w:rPr>
        <w:t>2</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结余分配</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万元。与上年决算相比，增加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val="en-US" w:eastAsia="zh-CN"/>
        </w:rPr>
        <w:t>主要原因说明为不存在此项内容</w:t>
      </w:r>
      <w:r>
        <w:rPr>
          <w:rFonts w:ascii="FangSong_GB2312" w:hAnsi="FangSong_GB2312" w:eastAsia="FangSong_GB2312" w:cs="FangSong_GB2312"/>
          <w:kern w:val="0"/>
          <w:sz w:val="32"/>
          <w:szCs w:val="32"/>
          <w:u w:val="none" w:color="auto"/>
        </w:rPr>
        <w:t>。</w:t>
      </w:r>
    </w:p>
    <w:p w14:paraId="029B1F3A">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kern w:val="0"/>
          <w:sz w:val="32"/>
          <w:szCs w:val="32"/>
          <w:u w:val="none" w:color="auto"/>
          <w:lang w:eastAsia="en-US"/>
        </w:rPr>
        <w:t>3</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年末结转和结余</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万元。与上年决算相比，增加</w:t>
      </w:r>
      <w:r>
        <w:rPr>
          <w:rFonts w:eastAsia="Times New Roman"/>
          <w:kern w:val="0"/>
          <w:sz w:val="32"/>
          <w:szCs w:val="32"/>
          <w:u w:val="none" w:color="auto"/>
        </w:rPr>
        <w:t>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rPr>
        <w:t>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val="en-US" w:eastAsia="zh-CN"/>
        </w:rPr>
        <w:t>主要原因说明为不存在此项内容</w:t>
      </w:r>
      <w:r>
        <w:rPr>
          <w:rFonts w:ascii="FangSong_GB2312" w:hAnsi="FangSong_GB2312" w:eastAsia="FangSong_GB2312" w:cs="FangSong_GB2312"/>
          <w:kern w:val="0"/>
          <w:sz w:val="32"/>
          <w:szCs w:val="32"/>
          <w:u w:val="none" w:color="auto"/>
        </w:rPr>
        <w:t>。</w:t>
      </w:r>
    </w:p>
    <w:p w14:paraId="6919D462">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二、收入决算情况说明</w:t>
      </w:r>
    </w:p>
    <w:p w14:paraId="22B1F01F">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 xml:space="preserve">赤峰市食品药品安全监测中心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年度本年收入决算合计</w:t>
      </w:r>
      <w:r>
        <w:rPr>
          <w:rFonts w:eastAsia="Times New Roman"/>
          <w:kern w:val="0"/>
          <w:sz w:val="32"/>
          <w:szCs w:val="32"/>
          <w:u w:val="none" w:color="auto"/>
          <w:lang w:eastAsia="en-US"/>
        </w:rPr>
        <w:t xml:space="preserve"> 717.94</w:t>
      </w:r>
      <w:r>
        <w:rPr>
          <w:rFonts w:ascii="FangSong_GB2312" w:hAnsi="FangSong_GB2312" w:eastAsia="FangSong_GB2312" w:cs="FangSong_GB2312"/>
          <w:kern w:val="0"/>
          <w:sz w:val="32"/>
          <w:szCs w:val="32"/>
          <w:u w:val="none" w:color="auto"/>
        </w:rPr>
        <w:t>万元，其中：</w:t>
      </w:r>
    </w:p>
    <w:p w14:paraId="49F7A0BF">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一般公共预算财政拨款收入</w:t>
      </w:r>
      <w:r>
        <w:rPr>
          <w:rFonts w:eastAsia="Times New Roman"/>
          <w:kern w:val="0"/>
          <w:sz w:val="32"/>
          <w:szCs w:val="32"/>
          <w:u w:val="none" w:color="auto"/>
          <w:lang w:eastAsia="en-US"/>
        </w:rPr>
        <w:t xml:space="preserve"> 717.94</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100.00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3259FB5B">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政府性基金预算财政拨款收入</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64B11471">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国有资本经营预算财政拨款收入</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00A56486">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上级补助收入</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06449C6E">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事业收入</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70BAF0BF">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经营收入</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09BCCAC8">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附属单位上缴收入</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10B99BA4">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其他收入</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53139BE4">
      <w:pPr>
        <w:widowControl/>
        <w:spacing w:before="240" w:after="240"/>
        <w:jc w:val="center"/>
        <w:rPr>
          <w:rFonts w:ascii="Times New Roman" w:hAnsi="Times New Roman" w:eastAsia="Times New Roman" w:cs="Times New Roman"/>
          <w:kern w:val="0"/>
          <w:sz w:val="24"/>
          <w:u w:val="none" w:color="auto"/>
        </w:rPr>
      </w:pPr>
      <w:r>
        <w:rPr>
          <w:rFonts w:ascii="Times New Roman" w:hAnsi="Times New Roman" w:eastAsia="Times New Roman" w:cs="Times New Roman"/>
          <w:strike w:val="0"/>
          <w:kern w:val="0"/>
          <w:sz w:val="24"/>
          <w:u w:val="none" w:color="auto"/>
        </w:rPr>
        <w:pict>
          <v:shape id="_x0000_i1025" o:spt="75" type="#_x0000_t75" style="height:247pt;width:395.15pt;" filled="f" o:preferrelative="t" stroked="f" coordsize="21600,21600">
            <v:path/>
            <v:fill on="f" focussize="0,0"/>
            <v:stroke on="f"/>
            <v:imagedata r:id="rId6" o:title=""/>
            <o:lock v:ext="edit" aspectratio="t"/>
            <w10:wrap type="none"/>
            <w10:anchorlock/>
          </v:shape>
        </w:pict>
      </w:r>
      <w:r>
        <w:rPr>
          <w:rFonts w:ascii="Times New Roman" w:hAnsi="Times New Roman" w:eastAsia="Times New Roman" w:cs="Times New Roman"/>
          <w:kern w:val="0"/>
          <w:sz w:val="24"/>
          <w:u w:val="none" w:color="auto"/>
        </w:rPr>
        <w:t xml:space="preserve">   </w:t>
      </w:r>
    </w:p>
    <w:p w14:paraId="05E5BFA1">
      <w:pPr>
        <w:widowControl/>
        <w:spacing w:before="240" w:after="240"/>
        <w:jc w:val="center"/>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27"/>
          <w:szCs w:val="27"/>
          <w:u w:val="none" w:color="auto"/>
        </w:rPr>
        <w:t>图</w:t>
      </w:r>
      <w:r>
        <w:rPr>
          <w:rFonts w:ascii="times_new_roman" w:hAnsi="times_new_roman" w:eastAsia="times_new_roman" w:cs="times_new_roman"/>
          <w:kern w:val="0"/>
          <w:sz w:val="27"/>
          <w:szCs w:val="27"/>
          <w:u w:val="none" w:color="auto"/>
        </w:rPr>
        <w:t>1</w:t>
      </w:r>
      <w:r>
        <w:rPr>
          <w:rFonts w:ascii="FangSong_GB2312" w:hAnsi="FangSong_GB2312" w:eastAsia="FangSong_GB2312" w:cs="FangSong_GB2312"/>
          <w:kern w:val="0"/>
          <w:sz w:val="27"/>
          <w:szCs w:val="27"/>
          <w:u w:val="none" w:color="auto"/>
        </w:rPr>
        <w:t>.收入决算图</w:t>
      </w:r>
    </w:p>
    <w:p w14:paraId="56355D88">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三、支出决算情况说明</w:t>
      </w:r>
    </w:p>
    <w:p w14:paraId="01A48113">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ascii="Times New Roman" w:hAnsi="Times New Roman" w:eastAsia="Times New Roman" w:cs="Times New Roman"/>
          <w:kern w:val="0"/>
          <w:sz w:val="24"/>
          <w:u w:val="none" w:color="auto"/>
        </w:rPr>
        <w:t xml:space="preserve">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年度本年支出决算合计</w:t>
      </w:r>
      <w:r>
        <w:rPr>
          <w:rFonts w:eastAsia="Times New Roman"/>
          <w:kern w:val="0"/>
          <w:sz w:val="32"/>
          <w:szCs w:val="32"/>
          <w:u w:val="none" w:color="auto"/>
          <w:lang w:eastAsia="en-US"/>
        </w:rPr>
        <w:t xml:space="preserve"> 717.94</w:t>
      </w:r>
      <w:r>
        <w:rPr>
          <w:rFonts w:ascii="FangSong_GB2312" w:hAnsi="FangSong_GB2312" w:eastAsia="FangSong_GB2312" w:cs="FangSong_GB2312"/>
          <w:kern w:val="0"/>
          <w:sz w:val="32"/>
          <w:szCs w:val="32"/>
          <w:u w:val="none" w:color="auto"/>
        </w:rPr>
        <w:t>万元，其中：</w:t>
      </w:r>
    </w:p>
    <w:p w14:paraId="017DF26D">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基本支出</w:t>
      </w:r>
      <w:r>
        <w:rPr>
          <w:rFonts w:eastAsia="Times New Roman"/>
          <w:kern w:val="0"/>
          <w:sz w:val="32"/>
          <w:szCs w:val="32"/>
          <w:u w:val="none" w:color="auto"/>
          <w:lang w:eastAsia="en-US"/>
        </w:rPr>
        <w:t xml:space="preserve"> 439.92</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61.28</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311BF70D">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项目支出</w:t>
      </w:r>
      <w:r>
        <w:rPr>
          <w:rFonts w:eastAsia="Times New Roman"/>
          <w:kern w:val="0"/>
          <w:sz w:val="32"/>
          <w:szCs w:val="32"/>
          <w:u w:val="none" w:color="auto"/>
          <w:lang w:eastAsia="en-US"/>
        </w:rPr>
        <w:t xml:space="preserve"> 278.02</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38.72</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51FF59B6">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上缴上级支出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6D6093E3">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经营支出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4941ECEC">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对附属单位补助支出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5BE49843">
      <w:pPr>
        <w:widowControl/>
        <w:spacing w:before="240" w:after="240"/>
        <w:jc w:val="center"/>
        <w:rPr>
          <w:rFonts w:ascii="Times New Roman" w:hAnsi="Times New Roman" w:eastAsia="Times New Roman" w:cs="Times New Roman"/>
          <w:kern w:val="0"/>
          <w:sz w:val="24"/>
          <w:u w:val="none" w:color="auto"/>
        </w:rPr>
      </w:pPr>
      <w:r>
        <w:rPr>
          <w:rFonts w:ascii="Times New Roman" w:hAnsi="Times New Roman" w:eastAsia="Times New Roman" w:cs="Times New Roman"/>
          <w:strike w:val="0"/>
          <w:kern w:val="0"/>
          <w:sz w:val="24"/>
          <w:u w:val="none" w:color="auto"/>
        </w:rPr>
        <w:pict>
          <v:shape id="_x0000_i1026" o:spt="75" type="#_x0000_t75" style="height:235.5pt;width:376.8pt;" filled="f" o:preferrelative="t" stroked="f" coordsize="21600,21600">
            <v:path/>
            <v:fill on="f" focussize="0,0"/>
            <v:stroke on="f"/>
            <v:imagedata r:id="rId7" o:title=""/>
            <o:lock v:ext="edit" aspectratio="t"/>
            <w10:wrap type="none"/>
            <w10:anchorlock/>
          </v:shape>
        </w:pict>
      </w:r>
      <w:r>
        <w:rPr>
          <w:rFonts w:ascii="Times New Roman" w:hAnsi="Times New Roman" w:eastAsia="Times New Roman" w:cs="Times New Roman"/>
          <w:kern w:val="0"/>
          <w:sz w:val="24"/>
          <w:u w:val="none" w:color="auto"/>
        </w:rPr>
        <w:t xml:space="preserve">   </w:t>
      </w:r>
    </w:p>
    <w:p w14:paraId="0271663F">
      <w:pPr>
        <w:widowControl/>
        <w:spacing w:before="240" w:after="240"/>
        <w:jc w:val="center"/>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27"/>
          <w:szCs w:val="27"/>
          <w:u w:val="none" w:color="auto"/>
        </w:rPr>
        <w:t>图2.支出决算图</w:t>
      </w:r>
    </w:p>
    <w:p w14:paraId="200330B9">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四、财政拨款收入支出决算总体情况说明</w:t>
      </w:r>
    </w:p>
    <w:p w14:paraId="7D710697">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ascii="Times New Roman" w:hAnsi="Times New Roman" w:eastAsia="Times New Roman" w:cs="Times New Roman"/>
          <w:kern w:val="0"/>
          <w:sz w:val="24"/>
          <w:u w:val="none" w:color="auto"/>
        </w:rPr>
        <w:t xml:space="preserve">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年度财政拨款收入、支出决算总计均为</w:t>
      </w:r>
      <w:r>
        <w:rPr>
          <w:rFonts w:eastAsia="Times New Roman"/>
          <w:kern w:val="0"/>
          <w:sz w:val="32"/>
          <w:szCs w:val="32"/>
          <w:u w:val="none" w:color="auto"/>
          <w:lang w:eastAsia="en-US"/>
        </w:rPr>
        <w:t xml:space="preserve"> 717.94</w:t>
      </w:r>
      <w:r>
        <w:rPr>
          <w:rFonts w:ascii="FangSong_GB2312" w:hAnsi="FangSong_GB2312" w:eastAsia="FangSong_GB2312" w:cs="FangSong_GB2312"/>
          <w:kern w:val="0"/>
          <w:sz w:val="32"/>
          <w:szCs w:val="32"/>
          <w:u w:val="none" w:color="auto"/>
        </w:rPr>
        <w:t>万元，与年初预算相比，收、支总计各减少</w:t>
      </w:r>
      <w:r>
        <w:rPr>
          <w:rFonts w:eastAsia="Times New Roman"/>
          <w:kern w:val="0"/>
          <w:sz w:val="32"/>
          <w:szCs w:val="32"/>
          <w:u w:val="none" w:color="auto"/>
          <w:lang w:eastAsia="en-US"/>
        </w:rPr>
        <w:t>336.14</w:t>
      </w:r>
      <w:r>
        <w:rPr>
          <w:rFonts w:ascii="FangSong_GB2312" w:hAnsi="FangSong_GB2312" w:eastAsia="FangSong_GB2312" w:cs="FangSong_GB2312"/>
          <w:kern w:val="0"/>
          <w:sz w:val="32"/>
          <w:szCs w:val="32"/>
          <w:u w:val="none" w:color="auto"/>
        </w:rPr>
        <w:t>万元，下降</w:t>
      </w:r>
      <w:r>
        <w:rPr>
          <w:rFonts w:eastAsia="Times New Roman"/>
          <w:kern w:val="0"/>
          <w:sz w:val="32"/>
          <w:szCs w:val="32"/>
          <w:u w:val="none" w:color="auto"/>
          <w:lang w:eastAsia="en-US"/>
        </w:rPr>
        <w:t>31.89</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val="en-US" w:eastAsia="zh-CN"/>
        </w:rPr>
        <w:t>2024年和2025年食品安全监督抽检项目中标的抽检机构的委托业务费未完全支付的情况</w:t>
      </w:r>
      <w:r>
        <w:rPr>
          <w:rFonts w:ascii="FangSong_GB2312" w:hAnsi="FangSong_GB2312" w:eastAsia="FangSong_GB2312" w:cs="FangSong_GB2312"/>
          <w:kern w:val="0"/>
          <w:sz w:val="32"/>
          <w:szCs w:val="32"/>
          <w:u w:val="none" w:color="auto"/>
        </w:rPr>
        <w:t>；与上年决算相比，收、支总计各增加</w:t>
      </w:r>
      <w:r>
        <w:rPr>
          <w:rFonts w:eastAsia="Times New Roman"/>
          <w:kern w:val="0"/>
          <w:sz w:val="32"/>
          <w:szCs w:val="32"/>
          <w:u w:val="none" w:color="auto"/>
          <w:lang w:eastAsia="en-US"/>
        </w:rPr>
        <w:t xml:space="preserve"> 28.73</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4.17</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eastAsia="zh-CN"/>
        </w:rPr>
        <w:t>项目经费收入含上年结转的变动情况</w:t>
      </w:r>
      <w:r>
        <w:rPr>
          <w:rFonts w:ascii="FangSong_GB2312" w:hAnsi="FangSong_GB2312" w:eastAsia="FangSong_GB2312" w:cs="FangSong_GB2312"/>
          <w:kern w:val="0"/>
          <w:sz w:val="32"/>
          <w:szCs w:val="32"/>
          <w:u w:val="none" w:color="auto"/>
        </w:rPr>
        <w:t>。</w:t>
      </w:r>
    </w:p>
    <w:p w14:paraId="4C36DD30">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五、一般公共预算财政拨款支出决算情况说明</w:t>
      </w:r>
    </w:p>
    <w:p w14:paraId="76FE1DC7">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ascii="Times New Roman" w:hAnsi="Times New Roman" w:eastAsia="Times New Roman" w:cs="Times New Roman"/>
          <w:kern w:val="0"/>
          <w:sz w:val="24"/>
          <w:u w:val="none" w:color="auto"/>
        </w:rPr>
        <w:t xml:space="preserve">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年度一般公共预算财政拨款支出决算</w:t>
      </w:r>
      <w:r>
        <w:rPr>
          <w:rFonts w:eastAsia="Times New Roman"/>
          <w:kern w:val="0"/>
          <w:sz w:val="32"/>
          <w:szCs w:val="32"/>
          <w:u w:val="none" w:color="auto"/>
          <w:lang w:eastAsia="en-US"/>
        </w:rPr>
        <w:t xml:space="preserve"> 717.94</w:t>
      </w:r>
      <w:r>
        <w:rPr>
          <w:rFonts w:ascii="FangSong_GB2312" w:hAnsi="FangSong_GB2312" w:eastAsia="FangSong_GB2312" w:cs="FangSong_GB2312"/>
          <w:kern w:val="0"/>
          <w:sz w:val="32"/>
          <w:szCs w:val="32"/>
          <w:u w:val="none" w:color="auto"/>
        </w:rPr>
        <w:t>万元。与年初预算</w:t>
      </w:r>
      <w:r>
        <w:rPr>
          <w:rFonts w:eastAsia="Times New Roman"/>
          <w:kern w:val="0"/>
          <w:sz w:val="32"/>
          <w:szCs w:val="32"/>
          <w:u w:val="none" w:color="auto"/>
          <w:lang w:eastAsia="en-US"/>
        </w:rPr>
        <w:t xml:space="preserve"> 1054.08</w:t>
      </w:r>
      <w:r>
        <w:rPr>
          <w:rFonts w:ascii="FangSong_GB2312" w:hAnsi="FangSong_GB2312" w:eastAsia="FangSong_GB2312" w:cs="FangSong_GB2312"/>
          <w:kern w:val="0"/>
          <w:sz w:val="32"/>
          <w:szCs w:val="32"/>
          <w:u w:val="none" w:color="auto"/>
        </w:rPr>
        <w:t>万元相比，完成年初预算的</w:t>
      </w:r>
      <w:r>
        <w:rPr>
          <w:rFonts w:eastAsia="Times New Roman"/>
          <w:kern w:val="0"/>
          <w:sz w:val="32"/>
          <w:szCs w:val="32"/>
          <w:u w:val="none" w:color="auto"/>
          <w:lang w:eastAsia="en-US"/>
        </w:rPr>
        <w:t xml:space="preserve"> 68.11</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。其中：</w:t>
      </w:r>
    </w:p>
    <w:p w14:paraId="5165570E">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（一）一般公共服务（类）</w:t>
      </w:r>
    </w:p>
    <w:p w14:paraId="63ADFBB5">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一般公共服务（类）决算数为</w:t>
      </w:r>
      <w:r>
        <w:rPr>
          <w:rFonts w:eastAsia="Times New Roman"/>
          <w:kern w:val="0"/>
          <w:sz w:val="32"/>
          <w:szCs w:val="32"/>
          <w:u w:val="none" w:color="auto"/>
          <w:lang w:eastAsia="en-US"/>
        </w:rPr>
        <w:t xml:space="preserve"> 618.21</w:t>
      </w:r>
      <w:r>
        <w:rPr>
          <w:rFonts w:ascii="FangSong_GB2312" w:hAnsi="FangSong_GB2312" w:eastAsia="FangSong_GB2312" w:cs="FangSong_GB2312"/>
          <w:kern w:val="0"/>
          <w:sz w:val="32"/>
          <w:szCs w:val="32"/>
          <w:u w:val="none" w:color="auto"/>
        </w:rPr>
        <w:t>万元，与年初预算相比减少</w:t>
      </w:r>
      <w:r>
        <w:rPr>
          <w:rFonts w:eastAsia="Times New Roman"/>
          <w:kern w:val="0"/>
          <w:sz w:val="32"/>
          <w:szCs w:val="32"/>
          <w:u w:val="none" w:color="auto"/>
          <w:lang w:eastAsia="en-US"/>
        </w:rPr>
        <w:t>350.54</w:t>
      </w:r>
      <w:r>
        <w:rPr>
          <w:rFonts w:ascii="FangSong_GB2312" w:hAnsi="FangSong_GB2312" w:eastAsia="FangSong_GB2312" w:cs="FangSong_GB2312"/>
          <w:kern w:val="0"/>
          <w:sz w:val="32"/>
          <w:szCs w:val="32"/>
          <w:u w:val="none" w:color="auto"/>
        </w:rPr>
        <w:t>万元。</w:t>
      </w:r>
      <w:r>
        <w:rPr>
          <w:rFonts w:hint="eastAsia" w:ascii="FangSong_GB2312" w:hAnsi="FangSong_GB2312" w:eastAsia="FangSong_GB2312" w:cs="FangSong_GB2312"/>
          <w:kern w:val="0"/>
          <w:sz w:val="32"/>
          <w:szCs w:val="32"/>
          <w:u w:val="none" w:color="auto"/>
          <w:lang w:val="en-US" w:eastAsia="zh-CN"/>
        </w:rPr>
        <w:t>其中：一般公共服务类市场监督管理事务（20138）款，科目分别为事业运行（2013850）340.18万元，其他一般公共服务支出（2013899）278.02万元，主要用于人员工资，日常工作运行和食品安全检验检测的支出。原因是2024年和2025年食品安全监督抽检项目中标的抽检机构的委托业务费未完全支付的情况</w:t>
      </w:r>
      <w:r>
        <w:rPr>
          <w:rFonts w:hint="eastAsia" w:ascii="仿宋_GB2312" w:hAnsi="仿宋_GB2312" w:eastAsia="仿宋_GB2312" w:cs="仿宋_GB2312"/>
          <w:sz w:val="27"/>
          <w:szCs w:val="27"/>
          <w:u w:val="none" w:color="auto"/>
        </w:rPr>
        <w:t>。</w:t>
      </w:r>
    </w:p>
    <w:p w14:paraId="4CEB0888">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w:t>
      </w:r>
      <w:r>
        <w:rPr>
          <w:rFonts w:hint="eastAsia" w:ascii="楷体" w:hAnsi="楷体" w:eastAsia="楷体" w:cs="楷体"/>
          <w:b/>
          <w:bCs/>
          <w:kern w:val="0"/>
          <w:sz w:val="32"/>
          <w:szCs w:val="32"/>
          <w:u w:val="none" w:color="auto"/>
          <w:lang w:eastAsia="zh-CN"/>
        </w:rPr>
        <w:t>二</w:t>
      </w:r>
      <w:r>
        <w:rPr>
          <w:rFonts w:ascii="楷体" w:hAnsi="楷体" w:eastAsia="楷体" w:cs="楷体"/>
          <w:b/>
          <w:bCs/>
          <w:kern w:val="0"/>
          <w:sz w:val="32"/>
          <w:szCs w:val="32"/>
          <w:u w:val="none" w:color="auto"/>
        </w:rPr>
        <w:t>）社会保障和就业支出（类）</w:t>
      </w:r>
    </w:p>
    <w:p w14:paraId="75878DD6">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社会保障和就业支出（类）决算数为</w:t>
      </w:r>
      <w:r>
        <w:rPr>
          <w:rFonts w:eastAsia="Times New Roman"/>
          <w:kern w:val="0"/>
          <w:sz w:val="32"/>
          <w:szCs w:val="32"/>
          <w:u w:val="none" w:color="auto"/>
          <w:lang w:eastAsia="en-US"/>
        </w:rPr>
        <w:t xml:space="preserve"> 46.77</w:t>
      </w:r>
      <w:r>
        <w:rPr>
          <w:rFonts w:ascii="FangSong_GB2312" w:hAnsi="FangSong_GB2312" w:eastAsia="FangSong_GB2312" w:cs="FangSong_GB2312"/>
          <w:kern w:val="0"/>
          <w:sz w:val="32"/>
          <w:szCs w:val="32"/>
          <w:u w:val="none" w:color="auto"/>
        </w:rPr>
        <w:t>万元，与年初预算相比增加</w:t>
      </w:r>
      <w:r>
        <w:rPr>
          <w:rFonts w:eastAsia="Times New Roman"/>
          <w:kern w:val="0"/>
          <w:sz w:val="32"/>
          <w:szCs w:val="32"/>
          <w:u w:val="none" w:color="auto"/>
          <w:lang w:eastAsia="en-US"/>
        </w:rPr>
        <w:t> 7.90</w:t>
      </w:r>
      <w:r>
        <w:rPr>
          <w:rFonts w:ascii="FangSong_GB2312" w:hAnsi="FangSong_GB2312" w:eastAsia="FangSong_GB2312" w:cs="FangSong_GB2312"/>
          <w:kern w:val="0"/>
          <w:sz w:val="32"/>
          <w:szCs w:val="32"/>
          <w:u w:val="none" w:color="auto"/>
        </w:rPr>
        <w:t>万元。其中：</w:t>
      </w:r>
    </w:p>
    <w:p w14:paraId="6EA0E1AB">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hint="eastAsia"/>
          <w:kern w:val="0"/>
          <w:sz w:val="32"/>
          <w:szCs w:val="32"/>
          <w:u w:val="none" w:color="auto"/>
          <w:lang w:val="en-US" w:eastAsia="zh-CN"/>
        </w:rPr>
        <w:t>1</w:t>
      </w:r>
      <w:r>
        <w:rPr>
          <w:rFonts w:ascii="FangSong_GB2312" w:hAnsi="FangSong_GB2312" w:eastAsia="FangSong_GB2312" w:cs="FangSong_GB2312"/>
          <w:kern w:val="0"/>
          <w:sz w:val="32"/>
          <w:szCs w:val="32"/>
          <w:u w:val="none" w:color="auto"/>
        </w:rPr>
        <w:t>．行政事业单位养老支出（款）事业单位离退休（项）。年初预算</w:t>
      </w:r>
      <w:r>
        <w:rPr>
          <w:rFonts w:hint="eastAsia"/>
          <w:kern w:val="0"/>
          <w:sz w:val="32"/>
          <w:szCs w:val="32"/>
          <w:u w:val="none" w:color="auto"/>
          <w:lang w:val="en-US" w:eastAsia="zh-CN"/>
        </w:rPr>
        <w:t>1.60</w:t>
      </w:r>
      <w:r>
        <w:rPr>
          <w:rFonts w:ascii="FangSong_GB2312" w:hAnsi="FangSong_GB2312" w:eastAsia="FangSong_GB2312" w:cs="FangSong_GB2312"/>
          <w:kern w:val="0"/>
          <w:sz w:val="32"/>
          <w:szCs w:val="32"/>
          <w:u w:val="none" w:color="auto"/>
        </w:rPr>
        <w:t>万元，支出决算</w:t>
      </w:r>
      <w:r>
        <w:rPr>
          <w:rFonts w:hint="eastAsia"/>
          <w:kern w:val="0"/>
          <w:sz w:val="32"/>
          <w:szCs w:val="32"/>
          <w:u w:val="none" w:color="auto"/>
          <w:lang w:val="en-US" w:eastAsia="zh-CN"/>
        </w:rPr>
        <w:t>1.60</w:t>
      </w:r>
      <w:r>
        <w:rPr>
          <w:rFonts w:ascii="FangSong_GB2312" w:hAnsi="FangSong_GB2312" w:eastAsia="FangSong_GB2312" w:cs="FangSong_GB2312"/>
          <w:kern w:val="0"/>
          <w:sz w:val="32"/>
          <w:szCs w:val="32"/>
          <w:u w:val="none" w:color="auto"/>
        </w:rPr>
        <w:t>万元，完成年初预算的</w:t>
      </w:r>
      <w:r>
        <w:rPr>
          <w:rFonts w:hint="eastAsia"/>
          <w:kern w:val="0"/>
          <w:sz w:val="32"/>
          <w:szCs w:val="32"/>
          <w:u w:val="none" w:color="auto"/>
          <w:lang w:val="en-US" w:eastAsia="zh-CN"/>
        </w:rPr>
        <w:t>100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。决算数与年初预算数的差异原因：</w:t>
      </w:r>
      <w:r>
        <w:rPr>
          <w:rFonts w:hint="eastAsia" w:ascii="FangSong_GB2312" w:hAnsi="FangSong_GB2312" w:eastAsia="FangSong_GB2312" w:cs="FangSong_GB2312"/>
          <w:kern w:val="0"/>
          <w:sz w:val="32"/>
          <w:szCs w:val="32"/>
          <w:u w:val="none" w:color="auto"/>
          <w:lang w:eastAsia="zh-CN"/>
        </w:rPr>
        <w:t>无差异原因情况</w:t>
      </w:r>
      <w:r>
        <w:rPr>
          <w:rFonts w:ascii="FangSong_GB2312" w:hAnsi="FangSong_GB2312" w:eastAsia="FangSong_GB2312" w:cs="FangSong_GB2312"/>
          <w:kern w:val="0"/>
          <w:sz w:val="32"/>
          <w:szCs w:val="32"/>
          <w:u w:val="none" w:color="auto"/>
        </w:rPr>
        <w:t>。</w:t>
      </w:r>
    </w:p>
    <w:p w14:paraId="08D545BC">
      <w:pPr>
        <w:widowControl/>
        <w:spacing w:before="240" w:after="240"/>
        <w:rPr>
          <w:rFonts w:hint="eastAsia" w:ascii="FangSong_GB2312" w:hAnsi="FangSong_GB2312" w:eastAsia="FangSong_GB2312" w:cs="FangSong_GB2312"/>
          <w:kern w:val="0"/>
          <w:sz w:val="32"/>
          <w:szCs w:val="32"/>
          <w:u w:val="none" w:color="auto"/>
          <w:lang w:val="en-US" w:eastAsia="zh-CN" w:bidi="ar-SA"/>
        </w:rPr>
      </w:pPr>
      <w:r>
        <w:rPr>
          <w:rFonts w:hint="eastAsia" w:ascii="仿宋_GB2312" w:hAnsi="仿宋_GB2312" w:eastAsia="仿宋_GB2312" w:cs="仿宋_GB2312"/>
          <w:kern w:val="0"/>
          <w:sz w:val="27"/>
          <w:szCs w:val="27"/>
          <w:u w:val="none" w:color="auto"/>
          <w:lang w:val="en-US" w:eastAsia="zh-CN"/>
        </w:rPr>
        <w:t xml:space="preserve">     </w:t>
      </w:r>
      <w:r>
        <w:rPr>
          <w:rFonts w:hint="eastAsia" w:ascii="FangSong_GB2312" w:hAnsi="FangSong_GB2312" w:eastAsia="FangSong_GB2312" w:cs="FangSong_GB2312"/>
          <w:kern w:val="0"/>
          <w:sz w:val="32"/>
          <w:szCs w:val="32"/>
          <w:u w:val="none" w:color="auto"/>
          <w:lang w:val="en-US" w:eastAsia="zh-CN" w:bidi="ar-SA"/>
        </w:rPr>
        <w:t>2．行政事业单位养老支出（款）机关事业单位基本养老保险缴费支出（项）。年初预算35.37万元，支出决算43.27万元，完成年初预算的100%。决算数与年初预算数的差异原因：单位人数及人员调整基数变动情况</w:t>
      </w:r>
      <w:r>
        <w:rPr>
          <w:rFonts w:ascii="FangSong_GB2312" w:hAnsi="FangSong_GB2312" w:eastAsia="FangSong_GB2312" w:cs="FangSong_GB2312"/>
          <w:kern w:val="0"/>
          <w:sz w:val="32"/>
          <w:szCs w:val="32"/>
          <w:u w:val="none" w:color="auto"/>
        </w:rPr>
        <w:t>。</w:t>
      </w:r>
    </w:p>
    <w:p w14:paraId="442B4F74">
      <w:pPr>
        <w:widowControl/>
        <w:spacing w:before="240" w:after="240"/>
        <w:ind w:firstLine="640" w:firstLineChars="200"/>
        <w:rPr>
          <w:rFonts w:hint="eastAsia" w:ascii="FangSong_GB2312" w:hAnsi="FangSong_GB2312" w:eastAsia="FangSong_GB2312" w:cs="FangSong_GB2312"/>
          <w:kern w:val="0"/>
          <w:sz w:val="32"/>
          <w:szCs w:val="32"/>
          <w:u w:val="none" w:color="auto"/>
          <w:lang w:val="en-US" w:eastAsia="zh-CN" w:bidi="ar-SA"/>
        </w:rPr>
      </w:pPr>
      <w:r>
        <w:rPr>
          <w:rFonts w:hint="default" w:ascii="FangSong_GB2312" w:hAnsi="FangSong_GB2312" w:eastAsia="FangSong_GB2312" w:cs="FangSong_GB2312"/>
          <w:kern w:val="0"/>
          <w:sz w:val="32"/>
          <w:szCs w:val="32"/>
          <w:u w:val="none" w:color="auto"/>
          <w:lang w:val="en-US" w:eastAsia="zh-CN" w:bidi="ar-SA"/>
        </w:rPr>
        <w:t>3.</w:t>
      </w:r>
      <w:r>
        <w:rPr>
          <w:rFonts w:hint="eastAsia" w:ascii="FangSong_GB2312" w:hAnsi="FangSong_GB2312" w:eastAsia="FangSong_GB2312" w:cs="FangSong_GB2312"/>
          <w:kern w:val="0"/>
          <w:sz w:val="32"/>
          <w:szCs w:val="32"/>
          <w:u w:val="none" w:color="auto"/>
          <w:lang w:val="en-US" w:eastAsia="zh-CN" w:bidi="ar-SA"/>
        </w:rPr>
        <w:t xml:space="preserve"> 其他社会保障和就业支出（款）其他社会保障和就和支出（项）。年初预算1.91万元，支出决算1.91万元，完成年初预算的100.00%。决算数与年初预算数的差异原因：无差异原因情况。</w:t>
      </w:r>
    </w:p>
    <w:p w14:paraId="5F664F18">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（四）卫生健康支出（类）</w:t>
      </w:r>
    </w:p>
    <w:p w14:paraId="623AB13E">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卫生健康支出（类）决算数为</w:t>
      </w:r>
      <w:r>
        <w:rPr>
          <w:rFonts w:eastAsia="Times New Roman"/>
          <w:kern w:val="0"/>
          <w:sz w:val="32"/>
          <w:szCs w:val="32"/>
          <w:u w:val="none" w:color="auto"/>
          <w:lang w:eastAsia="en-US"/>
        </w:rPr>
        <w:t xml:space="preserve"> 21.19</w:t>
      </w:r>
      <w:r>
        <w:rPr>
          <w:rFonts w:ascii="FangSong_GB2312" w:hAnsi="FangSong_GB2312" w:eastAsia="FangSong_GB2312" w:cs="FangSong_GB2312"/>
          <w:kern w:val="0"/>
          <w:sz w:val="32"/>
          <w:szCs w:val="32"/>
          <w:u w:val="none" w:color="auto"/>
        </w:rPr>
        <w:t>万元，与年初预算相比增加（减少）</w:t>
      </w:r>
      <w:r>
        <w:rPr>
          <w:rFonts w:eastAsia="Times New Roman"/>
          <w:kern w:val="0"/>
          <w:sz w:val="32"/>
          <w:szCs w:val="32"/>
          <w:u w:val="none" w:color="auto"/>
          <w:lang w:eastAsia="en-US"/>
        </w:rPr>
        <w:t> 3.84</w:t>
      </w:r>
      <w:r>
        <w:rPr>
          <w:rFonts w:ascii="FangSong_GB2312" w:hAnsi="FangSong_GB2312" w:eastAsia="FangSong_GB2312" w:cs="FangSong_GB2312"/>
          <w:kern w:val="0"/>
          <w:sz w:val="32"/>
          <w:szCs w:val="32"/>
          <w:u w:val="none" w:color="auto"/>
        </w:rPr>
        <w:t>万元。其中：</w:t>
      </w:r>
    </w:p>
    <w:p w14:paraId="78E1C21B">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kern w:val="0"/>
          <w:sz w:val="32"/>
          <w:szCs w:val="32"/>
          <w:u w:val="none" w:color="auto"/>
          <w:lang w:eastAsia="en-US"/>
        </w:rPr>
        <w:t>1</w:t>
      </w:r>
      <w:r>
        <w:rPr>
          <w:rFonts w:ascii="FangSong_GB2312" w:hAnsi="FangSong_GB2312" w:eastAsia="FangSong_GB2312" w:cs="FangSong_GB2312"/>
          <w:kern w:val="0"/>
          <w:sz w:val="32"/>
          <w:szCs w:val="32"/>
          <w:u w:val="none" w:color="auto"/>
        </w:rPr>
        <w:t>．行政事业单位医疗（款）</w:t>
      </w:r>
      <w:r>
        <w:rPr>
          <w:rFonts w:hint="eastAsia" w:ascii="FangSong_GB2312" w:hAnsi="FangSong_GB2312" w:eastAsia="FangSong_GB2312" w:cs="FangSong_GB2312"/>
          <w:kern w:val="0"/>
          <w:sz w:val="32"/>
          <w:szCs w:val="32"/>
          <w:u w:val="none" w:color="auto"/>
          <w:lang w:eastAsia="zh-CN"/>
        </w:rPr>
        <w:t>事业</w:t>
      </w:r>
      <w:r>
        <w:rPr>
          <w:rFonts w:ascii="FangSong_GB2312" w:hAnsi="FangSong_GB2312" w:eastAsia="FangSong_GB2312" w:cs="FangSong_GB2312"/>
          <w:kern w:val="0"/>
          <w:sz w:val="32"/>
          <w:szCs w:val="32"/>
          <w:u w:val="none" w:color="auto"/>
        </w:rPr>
        <w:t>单位医疗（项）。年初预算</w:t>
      </w:r>
      <w:r>
        <w:rPr>
          <w:rFonts w:hint="eastAsia"/>
          <w:kern w:val="0"/>
          <w:sz w:val="32"/>
          <w:szCs w:val="32"/>
          <w:u w:val="none" w:color="auto"/>
          <w:lang w:val="en-US" w:eastAsia="zh-CN"/>
        </w:rPr>
        <w:t>21.19</w:t>
      </w:r>
      <w:r>
        <w:rPr>
          <w:rFonts w:ascii="FangSong_GB2312" w:hAnsi="FangSong_GB2312" w:eastAsia="FangSong_GB2312" w:cs="FangSong_GB2312"/>
          <w:kern w:val="0"/>
          <w:sz w:val="32"/>
          <w:szCs w:val="32"/>
          <w:u w:val="none" w:color="auto"/>
        </w:rPr>
        <w:t>万元，支出决算</w:t>
      </w:r>
      <w:r>
        <w:rPr>
          <w:rFonts w:hint="eastAsia"/>
          <w:kern w:val="0"/>
          <w:sz w:val="32"/>
          <w:szCs w:val="32"/>
          <w:u w:val="none" w:color="auto"/>
          <w:lang w:val="en-US" w:eastAsia="zh-CN"/>
        </w:rPr>
        <w:t>21.19</w:t>
      </w:r>
      <w:r>
        <w:rPr>
          <w:rFonts w:ascii="FangSong_GB2312" w:hAnsi="FangSong_GB2312" w:eastAsia="FangSong_GB2312" w:cs="FangSong_GB2312"/>
          <w:kern w:val="0"/>
          <w:sz w:val="32"/>
          <w:szCs w:val="32"/>
          <w:u w:val="none" w:color="auto"/>
        </w:rPr>
        <w:t>万元，完成年初预算的</w:t>
      </w:r>
      <w:r>
        <w:rPr>
          <w:rFonts w:hint="eastAsia"/>
          <w:kern w:val="0"/>
          <w:sz w:val="32"/>
          <w:szCs w:val="32"/>
          <w:u w:val="none" w:color="auto"/>
          <w:lang w:val="en-US" w:eastAsia="zh-CN"/>
        </w:rPr>
        <w:t>100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。决算数与年初预算数的差异原因：</w:t>
      </w:r>
      <w:r>
        <w:rPr>
          <w:rFonts w:hint="eastAsia" w:ascii="FangSong_GB2312" w:hAnsi="FangSong_GB2312" w:eastAsia="FangSong_GB2312" w:cs="FangSong_GB2312"/>
          <w:kern w:val="0"/>
          <w:sz w:val="32"/>
          <w:szCs w:val="32"/>
          <w:u w:val="none" w:color="auto"/>
          <w:lang w:val="en-US" w:eastAsia="zh-CN" w:bidi="ar-SA"/>
        </w:rPr>
        <w:t>无差异原因情况</w:t>
      </w:r>
      <w:r>
        <w:rPr>
          <w:rFonts w:ascii="FangSong_GB2312" w:hAnsi="FangSong_GB2312" w:eastAsia="FangSong_GB2312" w:cs="FangSong_GB2312"/>
          <w:kern w:val="0"/>
          <w:sz w:val="32"/>
          <w:szCs w:val="32"/>
          <w:u w:val="none" w:color="auto"/>
        </w:rPr>
        <w:t>。</w:t>
      </w:r>
    </w:p>
    <w:p w14:paraId="56163A6F">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（五）住房保障支出（类）</w:t>
      </w:r>
    </w:p>
    <w:p w14:paraId="05683343">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住房保障支出（类）决算数为</w:t>
      </w:r>
      <w:r>
        <w:rPr>
          <w:rFonts w:eastAsia="Times New Roman"/>
          <w:kern w:val="0"/>
          <w:sz w:val="32"/>
          <w:szCs w:val="32"/>
          <w:u w:val="none" w:color="auto"/>
          <w:lang w:eastAsia="en-US"/>
        </w:rPr>
        <w:t xml:space="preserve"> 31.78</w:t>
      </w:r>
      <w:r>
        <w:rPr>
          <w:rFonts w:ascii="FangSong_GB2312" w:hAnsi="FangSong_GB2312" w:eastAsia="FangSong_GB2312" w:cs="FangSong_GB2312"/>
          <w:kern w:val="0"/>
          <w:sz w:val="32"/>
          <w:szCs w:val="32"/>
          <w:u w:val="none" w:color="auto"/>
        </w:rPr>
        <w:t>万元，与年初预算相比增加（减少）</w:t>
      </w:r>
      <w:r>
        <w:rPr>
          <w:rFonts w:eastAsia="Times New Roman"/>
          <w:kern w:val="0"/>
          <w:sz w:val="32"/>
          <w:szCs w:val="32"/>
          <w:u w:val="none" w:color="auto"/>
          <w:lang w:eastAsia="en-US"/>
        </w:rPr>
        <w:t> 2.66</w:t>
      </w:r>
      <w:r>
        <w:rPr>
          <w:rFonts w:ascii="FangSong_GB2312" w:hAnsi="FangSong_GB2312" w:eastAsia="FangSong_GB2312" w:cs="FangSong_GB2312"/>
          <w:kern w:val="0"/>
          <w:sz w:val="32"/>
          <w:szCs w:val="32"/>
          <w:u w:val="none" w:color="auto"/>
        </w:rPr>
        <w:t>万元。其中：</w:t>
      </w:r>
    </w:p>
    <w:p w14:paraId="17081CE2">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kern w:val="0"/>
          <w:sz w:val="32"/>
          <w:szCs w:val="32"/>
          <w:u w:val="none" w:color="auto"/>
          <w:lang w:eastAsia="en-US"/>
        </w:rPr>
        <w:t>1</w:t>
      </w:r>
      <w:r>
        <w:rPr>
          <w:rFonts w:ascii="FangSong_GB2312" w:hAnsi="FangSong_GB2312" w:eastAsia="FangSong_GB2312" w:cs="FangSong_GB2312"/>
          <w:kern w:val="0"/>
          <w:sz w:val="32"/>
          <w:szCs w:val="32"/>
          <w:u w:val="none" w:color="auto"/>
        </w:rPr>
        <w:t>．住房改革支出（款）住房公积金（项）。年初预算</w:t>
      </w:r>
      <w:r>
        <w:rPr>
          <w:rFonts w:hint="eastAsia"/>
          <w:kern w:val="0"/>
          <w:sz w:val="32"/>
          <w:szCs w:val="32"/>
          <w:u w:val="none" w:color="auto"/>
          <w:lang w:val="en-US" w:eastAsia="zh-CN"/>
        </w:rPr>
        <w:t>34.44</w:t>
      </w:r>
      <w:r>
        <w:rPr>
          <w:rFonts w:ascii="FangSong_GB2312" w:hAnsi="FangSong_GB2312" w:eastAsia="FangSong_GB2312" w:cs="FangSong_GB2312"/>
          <w:kern w:val="0"/>
          <w:sz w:val="32"/>
          <w:szCs w:val="32"/>
          <w:u w:val="none" w:color="auto"/>
        </w:rPr>
        <w:t>万元，支出决算</w:t>
      </w:r>
      <w:r>
        <w:rPr>
          <w:rFonts w:hint="eastAsia"/>
          <w:kern w:val="0"/>
          <w:sz w:val="32"/>
          <w:szCs w:val="32"/>
          <w:u w:val="none" w:color="auto"/>
          <w:lang w:val="en-US" w:eastAsia="zh-CN"/>
        </w:rPr>
        <w:t>31.78</w:t>
      </w:r>
      <w:r>
        <w:rPr>
          <w:rFonts w:ascii="FangSong_GB2312" w:hAnsi="FangSong_GB2312" w:eastAsia="FangSong_GB2312" w:cs="FangSong_GB2312"/>
          <w:kern w:val="0"/>
          <w:sz w:val="32"/>
          <w:szCs w:val="32"/>
          <w:u w:val="none" w:color="auto"/>
        </w:rPr>
        <w:t>万元，完成年初预算的</w:t>
      </w:r>
      <w:r>
        <w:rPr>
          <w:rFonts w:hint="eastAsia" w:ascii="FangSong_GB2312" w:hAnsi="FangSong_GB2312" w:eastAsia="FangSong_GB2312" w:cs="FangSong_GB2312"/>
          <w:kern w:val="0"/>
          <w:sz w:val="32"/>
          <w:szCs w:val="32"/>
          <w:u w:val="none" w:color="auto"/>
          <w:lang w:val="en-US" w:eastAsia="zh-CN"/>
        </w:rPr>
        <w:t>92.28</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。决算数与年初预算数的差异原因：</w:t>
      </w:r>
      <w:r>
        <w:rPr>
          <w:rFonts w:hint="eastAsia" w:ascii="FangSong_GB2312" w:hAnsi="FangSong_GB2312" w:eastAsia="FangSong_GB2312" w:cs="FangSong_GB2312"/>
          <w:kern w:val="0"/>
          <w:sz w:val="32"/>
          <w:szCs w:val="32"/>
          <w:u w:val="none" w:color="auto"/>
          <w:lang w:val="en-US" w:eastAsia="zh-CN" w:bidi="ar-SA"/>
        </w:rPr>
        <w:t>单位人数及人员调整基数变动情况</w:t>
      </w:r>
      <w:r>
        <w:rPr>
          <w:rFonts w:ascii="FangSong_GB2312" w:hAnsi="FangSong_GB2312" w:eastAsia="FangSong_GB2312" w:cs="FangSong_GB2312"/>
          <w:kern w:val="0"/>
          <w:sz w:val="32"/>
          <w:szCs w:val="32"/>
          <w:u w:val="none" w:color="auto"/>
        </w:rPr>
        <w:t>。</w:t>
      </w:r>
    </w:p>
    <w:p w14:paraId="04CB524D">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六、一般公共预算财政拨款基本支出决算情况说明</w:t>
      </w:r>
    </w:p>
    <w:p w14:paraId="1D1299B6">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ascii="Times New Roman" w:hAnsi="Times New Roman" w:eastAsia="Times New Roman" w:cs="Times New Roman"/>
          <w:kern w:val="0"/>
          <w:sz w:val="24"/>
          <w:u w:val="none" w:color="auto"/>
        </w:rPr>
        <w:t xml:space="preserve">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年度一般公共预算财政拨款基本支出决算</w:t>
      </w:r>
      <w:r>
        <w:rPr>
          <w:rFonts w:eastAsia="Times New Roman"/>
          <w:kern w:val="0"/>
          <w:sz w:val="32"/>
          <w:szCs w:val="32"/>
          <w:u w:val="none" w:color="auto"/>
          <w:lang w:eastAsia="en-US"/>
        </w:rPr>
        <w:t xml:space="preserve"> 439.92</w:t>
      </w:r>
      <w:r>
        <w:rPr>
          <w:rFonts w:ascii="FangSong_GB2312" w:hAnsi="FangSong_GB2312" w:eastAsia="FangSong_GB2312" w:cs="FangSong_GB2312"/>
          <w:kern w:val="0"/>
          <w:sz w:val="32"/>
          <w:szCs w:val="32"/>
          <w:u w:val="none" w:color="auto"/>
        </w:rPr>
        <w:t>万元，其中：</w:t>
      </w:r>
    </w:p>
    <w:p w14:paraId="24885794">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（一）人员经费</w:t>
      </w:r>
      <w:r>
        <w:rPr>
          <w:rFonts w:eastAsia="Times New Roman"/>
          <w:kern w:val="0"/>
          <w:sz w:val="32"/>
          <w:szCs w:val="32"/>
          <w:u w:val="none" w:color="auto"/>
          <w:lang w:eastAsia="en-US"/>
        </w:rPr>
        <w:t xml:space="preserve"> 412.07</w:t>
      </w:r>
      <w:r>
        <w:rPr>
          <w:rFonts w:ascii="楷体" w:hAnsi="楷体" w:eastAsia="楷体" w:cs="楷体"/>
          <w:b/>
          <w:bCs/>
          <w:kern w:val="0"/>
          <w:sz w:val="32"/>
          <w:szCs w:val="32"/>
          <w:u w:val="none" w:color="auto"/>
        </w:rPr>
        <w:t>万元。</w:t>
      </w:r>
      <w:r>
        <w:rPr>
          <w:rFonts w:ascii="FangSong_GB2312" w:hAnsi="FangSong_GB2312" w:eastAsia="FangSong_GB2312" w:cs="FangSong_GB2312"/>
          <w:kern w:val="0"/>
          <w:sz w:val="32"/>
          <w:szCs w:val="32"/>
          <w:u w:val="none" w:color="auto"/>
        </w:rPr>
        <w:t>主要包括：基本工资</w:t>
      </w:r>
      <w:r>
        <w:rPr>
          <w:rFonts w:hint="eastAsia" w:ascii="FangSong_GB2312" w:hAnsi="FangSong_GB2312" w:eastAsia="FangSong_GB2312" w:cs="FangSong_GB2312"/>
          <w:kern w:val="0"/>
          <w:sz w:val="32"/>
          <w:szCs w:val="32"/>
          <w:u w:val="none" w:color="auto"/>
          <w:lang w:val="en-US" w:eastAsia="zh-CN"/>
        </w:rPr>
        <w:t>145.56万元</w:t>
      </w:r>
      <w:r>
        <w:rPr>
          <w:rFonts w:ascii="FangSong_GB2312" w:hAnsi="FangSong_GB2312" w:eastAsia="FangSong_GB2312" w:cs="FangSong_GB2312"/>
          <w:kern w:val="0"/>
          <w:sz w:val="32"/>
          <w:szCs w:val="32"/>
          <w:u w:val="none" w:color="auto"/>
        </w:rPr>
        <w:t>、津贴补贴</w:t>
      </w:r>
      <w:r>
        <w:rPr>
          <w:rFonts w:hint="eastAsia" w:ascii="FangSong_GB2312" w:hAnsi="FangSong_GB2312" w:eastAsia="FangSong_GB2312" w:cs="FangSong_GB2312"/>
          <w:kern w:val="0"/>
          <w:sz w:val="32"/>
          <w:szCs w:val="32"/>
          <w:u w:val="none" w:color="auto"/>
          <w:lang w:val="en-US" w:eastAsia="zh-CN"/>
        </w:rPr>
        <w:t>33.82万元</w:t>
      </w:r>
      <w:r>
        <w:rPr>
          <w:rFonts w:ascii="FangSong_GB2312" w:hAnsi="FangSong_GB2312" w:eastAsia="FangSong_GB2312" w:cs="FangSong_GB2312"/>
          <w:kern w:val="0"/>
          <w:sz w:val="32"/>
          <w:szCs w:val="32"/>
          <w:u w:val="none" w:color="auto"/>
        </w:rPr>
        <w:t>、奖金</w:t>
      </w:r>
      <w:r>
        <w:rPr>
          <w:rFonts w:hint="eastAsia" w:ascii="FangSong_GB2312" w:hAnsi="FangSong_GB2312" w:eastAsia="FangSong_GB2312" w:cs="FangSong_GB2312"/>
          <w:kern w:val="0"/>
          <w:sz w:val="32"/>
          <w:szCs w:val="32"/>
          <w:u w:val="none" w:color="auto"/>
          <w:lang w:val="en-US" w:eastAsia="zh-CN"/>
        </w:rPr>
        <w:t>25.08万元</w:t>
      </w:r>
      <w:r>
        <w:rPr>
          <w:rFonts w:ascii="FangSong_GB2312" w:hAnsi="FangSong_GB2312" w:eastAsia="FangSong_GB2312" w:cs="FangSong_GB2312"/>
          <w:kern w:val="0"/>
          <w:sz w:val="32"/>
          <w:szCs w:val="32"/>
          <w:u w:val="none" w:color="auto"/>
        </w:rPr>
        <w:t>、绩效工资</w:t>
      </w:r>
      <w:r>
        <w:rPr>
          <w:rFonts w:hint="eastAsia" w:ascii="FangSong_GB2312" w:hAnsi="FangSong_GB2312" w:eastAsia="FangSong_GB2312" w:cs="FangSong_GB2312"/>
          <w:kern w:val="0"/>
          <w:sz w:val="32"/>
          <w:szCs w:val="32"/>
          <w:u w:val="none" w:color="auto"/>
          <w:lang w:val="en-US" w:eastAsia="zh-CN"/>
        </w:rPr>
        <w:t>80.64万元</w:t>
      </w:r>
      <w:r>
        <w:rPr>
          <w:rFonts w:ascii="FangSong_GB2312" w:hAnsi="FangSong_GB2312" w:eastAsia="FangSong_GB2312" w:cs="FangSong_GB2312"/>
          <w:kern w:val="0"/>
          <w:sz w:val="32"/>
          <w:szCs w:val="32"/>
          <w:u w:val="none" w:color="auto"/>
        </w:rPr>
        <w:t>、机关事业单位基本养老保险缴费</w:t>
      </w:r>
      <w:r>
        <w:rPr>
          <w:rFonts w:hint="eastAsia" w:ascii="FangSong_GB2312" w:hAnsi="FangSong_GB2312" w:eastAsia="FangSong_GB2312" w:cs="FangSong_GB2312"/>
          <w:kern w:val="0"/>
          <w:sz w:val="32"/>
          <w:szCs w:val="32"/>
          <w:u w:val="none" w:color="auto"/>
          <w:lang w:val="en-US" w:eastAsia="zh-CN"/>
        </w:rPr>
        <w:t>43.27万元</w:t>
      </w:r>
      <w:r>
        <w:rPr>
          <w:rFonts w:ascii="FangSong_GB2312" w:hAnsi="FangSong_GB2312" w:eastAsia="FangSong_GB2312" w:cs="FangSong_GB2312"/>
          <w:kern w:val="0"/>
          <w:sz w:val="32"/>
          <w:szCs w:val="32"/>
          <w:u w:val="none" w:color="auto"/>
        </w:rPr>
        <w:t>、职工基本医疗保险缴费</w:t>
      </w:r>
      <w:r>
        <w:rPr>
          <w:rFonts w:hint="eastAsia" w:ascii="FangSong_GB2312" w:hAnsi="FangSong_GB2312" w:eastAsia="FangSong_GB2312" w:cs="FangSong_GB2312"/>
          <w:kern w:val="0"/>
          <w:sz w:val="32"/>
          <w:szCs w:val="32"/>
          <w:u w:val="none" w:color="auto"/>
          <w:lang w:val="en-US" w:eastAsia="zh-CN"/>
        </w:rPr>
        <w:t>21.19万元</w:t>
      </w:r>
      <w:r>
        <w:rPr>
          <w:rFonts w:ascii="FangSong_GB2312" w:hAnsi="FangSong_GB2312" w:eastAsia="FangSong_GB2312" w:cs="FangSong_GB2312"/>
          <w:kern w:val="0"/>
          <w:sz w:val="32"/>
          <w:szCs w:val="32"/>
          <w:u w:val="none" w:color="auto"/>
        </w:rPr>
        <w:t>、</w:t>
      </w:r>
      <w:r>
        <w:rPr>
          <w:rFonts w:hint="eastAsia" w:ascii="FangSong_GB2312" w:hAnsi="FangSong_GB2312" w:eastAsia="FangSong_GB2312" w:cs="FangSong_GB2312"/>
          <w:kern w:val="0"/>
          <w:sz w:val="32"/>
          <w:szCs w:val="32"/>
          <w:u w:val="none" w:color="auto"/>
          <w:lang w:eastAsia="zh-CN"/>
        </w:rPr>
        <w:t>其他社会保障缴费</w:t>
      </w:r>
      <w:r>
        <w:rPr>
          <w:rFonts w:hint="eastAsia" w:ascii="FangSong_GB2312" w:hAnsi="FangSong_GB2312" w:eastAsia="FangSong_GB2312" w:cs="FangSong_GB2312"/>
          <w:kern w:val="0"/>
          <w:sz w:val="32"/>
          <w:szCs w:val="32"/>
          <w:u w:val="none" w:color="auto"/>
          <w:lang w:val="en-US" w:eastAsia="zh-CN"/>
        </w:rPr>
        <w:t>1.89万元、</w:t>
      </w:r>
      <w:r>
        <w:rPr>
          <w:rFonts w:ascii="FangSong_GB2312" w:hAnsi="FangSong_GB2312" w:eastAsia="FangSong_GB2312" w:cs="FangSong_GB2312"/>
          <w:kern w:val="0"/>
          <w:sz w:val="32"/>
          <w:szCs w:val="32"/>
          <w:u w:val="none" w:color="auto"/>
        </w:rPr>
        <w:t>住房公积金</w:t>
      </w:r>
      <w:r>
        <w:rPr>
          <w:rFonts w:hint="eastAsia" w:ascii="FangSong_GB2312" w:hAnsi="FangSong_GB2312" w:eastAsia="FangSong_GB2312" w:cs="FangSong_GB2312"/>
          <w:kern w:val="0"/>
          <w:sz w:val="32"/>
          <w:szCs w:val="32"/>
          <w:u w:val="none" w:color="auto"/>
          <w:lang w:val="en-US" w:eastAsia="zh-CN"/>
        </w:rPr>
        <w:t>31.78万元</w:t>
      </w:r>
      <w:r>
        <w:rPr>
          <w:rFonts w:ascii="FangSong_GB2312" w:hAnsi="FangSong_GB2312" w:eastAsia="FangSong_GB2312" w:cs="FangSong_GB2312"/>
          <w:kern w:val="0"/>
          <w:sz w:val="32"/>
          <w:szCs w:val="32"/>
          <w:u w:val="none" w:color="auto"/>
        </w:rPr>
        <w:t>、其他工资福利支出</w:t>
      </w:r>
      <w:r>
        <w:rPr>
          <w:rFonts w:hint="eastAsia" w:ascii="FangSong_GB2312" w:hAnsi="FangSong_GB2312" w:eastAsia="FangSong_GB2312" w:cs="FangSong_GB2312"/>
          <w:kern w:val="0"/>
          <w:sz w:val="32"/>
          <w:szCs w:val="32"/>
          <w:u w:val="none" w:color="auto"/>
          <w:lang w:val="en-US" w:eastAsia="zh-CN"/>
        </w:rPr>
        <w:t>27.23万元</w:t>
      </w:r>
      <w:r>
        <w:rPr>
          <w:rFonts w:ascii="FangSong_GB2312" w:hAnsi="FangSong_GB2312" w:eastAsia="FangSong_GB2312" w:cs="FangSong_GB2312"/>
          <w:kern w:val="0"/>
          <w:sz w:val="32"/>
          <w:szCs w:val="32"/>
          <w:u w:val="none" w:color="auto"/>
        </w:rPr>
        <w:t>、退休费</w:t>
      </w:r>
      <w:r>
        <w:rPr>
          <w:rFonts w:hint="eastAsia" w:ascii="FangSong_GB2312" w:hAnsi="FangSong_GB2312" w:eastAsia="FangSong_GB2312" w:cs="FangSong_GB2312"/>
          <w:kern w:val="0"/>
          <w:sz w:val="32"/>
          <w:szCs w:val="32"/>
          <w:u w:val="none" w:color="auto"/>
          <w:lang w:val="en-US" w:eastAsia="zh-CN"/>
        </w:rPr>
        <w:t>1.60万元</w:t>
      </w:r>
      <w:r>
        <w:rPr>
          <w:rFonts w:ascii="FangSong_GB2312" w:hAnsi="FangSong_GB2312" w:eastAsia="FangSong_GB2312" w:cs="FangSong_GB2312"/>
          <w:kern w:val="0"/>
          <w:sz w:val="32"/>
          <w:szCs w:val="32"/>
          <w:u w:val="none" w:color="auto"/>
        </w:rPr>
        <w:t>。</w:t>
      </w:r>
    </w:p>
    <w:p w14:paraId="2C80ACB6">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（二）公用经费</w:t>
      </w:r>
      <w:r>
        <w:rPr>
          <w:rFonts w:eastAsia="Times New Roman"/>
          <w:kern w:val="0"/>
          <w:sz w:val="32"/>
          <w:szCs w:val="32"/>
          <w:u w:val="none" w:color="auto"/>
          <w:lang w:eastAsia="en-US"/>
        </w:rPr>
        <w:t xml:space="preserve"> 27.85</w:t>
      </w:r>
      <w:r>
        <w:rPr>
          <w:rFonts w:ascii="FangSong_GB2312" w:hAnsi="FangSong_GB2312" w:eastAsia="FangSong_GB2312" w:cs="FangSong_GB2312"/>
          <w:b/>
          <w:bCs/>
          <w:kern w:val="0"/>
          <w:sz w:val="32"/>
          <w:szCs w:val="32"/>
          <w:u w:val="none" w:color="auto"/>
        </w:rPr>
        <w:t>万元。</w:t>
      </w:r>
      <w:r>
        <w:rPr>
          <w:rFonts w:ascii="FangSong_GB2312" w:hAnsi="FangSong_GB2312" w:eastAsia="FangSong_GB2312" w:cs="FangSong_GB2312"/>
          <w:kern w:val="0"/>
          <w:sz w:val="32"/>
          <w:szCs w:val="32"/>
          <w:u w:val="none" w:color="auto"/>
        </w:rPr>
        <w:t>主要包括：办公费</w:t>
      </w:r>
      <w:r>
        <w:rPr>
          <w:rFonts w:hint="eastAsia" w:ascii="FangSong_GB2312" w:hAnsi="FangSong_GB2312" w:eastAsia="FangSong_GB2312" w:cs="FangSong_GB2312"/>
          <w:kern w:val="0"/>
          <w:sz w:val="32"/>
          <w:szCs w:val="32"/>
          <w:u w:val="none" w:color="auto"/>
          <w:lang w:val="en-US" w:eastAsia="zh-CN"/>
        </w:rPr>
        <w:t>3.97万元</w:t>
      </w:r>
      <w:r>
        <w:rPr>
          <w:rFonts w:ascii="FangSong_GB2312" w:hAnsi="FangSong_GB2312" w:eastAsia="FangSong_GB2312" w:cs="FangSong_GB2312"/>
          <w:kern w:val="0"/>
          <w:sz w:val="32"/>
          <w:szCs w:val="32"/>
          <w:u w:val="none" w:color="auto"/>
        </w:rPr>
        <w:t>、印刷费</w:t>
      </w:r>
      <w:r>
        <w:rPr>
          <w:rFonts w:hint="eastAsia" w:ascii="FangSong_GB2312" w:hAnsi="FangSong_GB2312" w:eastAsia="FangSong_GB2312" w:cs="FangSong_GB2312"/>
          <w:kern w:val="0"/>
          <w:sz w:val="32"/>
          <w:szCs w:val="32"/>
          <w:u w:val="none" w:color="auto"/>
          <w:lang w:val="en-US" w:eastAsia="zh-CN"/>
        </w:rPr>
        <w:t>0.09万元</w:t>
      </w:r>
      <w:r>
        <w:rPr>
          <w:rFonts w:ascii="FangSong_GB2312" w:hAnsi="FangSong_GB2312" w:eastAsia="FangSong_GB2312" w:cs="FangSong_GB2312"/>
          <w:kern w:val="0"/>
          <w:sz w:val="32"/>
          <w:szCs w:val="32"/>
          <w:u w:val="none" w:color="auto"/>
        </w:rPr>
        <w:t>、邮电费</w:t>
      </w:r>
      <w:r>
        <w:rPr>
          <w:rFonts w:hint="eastAsia" w:ascii="FangSong_GB2312" w:hAnsi="FangSong_GB2312" w:eastAsia="FangSong_GB2312" w:cs="FangSong_GB2312"/>
          <w:kern w:val="0"/>
          <w:sz w:val="32"/>
          <w:szCs w:val="32"/>
          <w:u w:val="none" w:color="auto"/>
          <w:lang w:val="en-US" w:eastAsia="zh-CN"/>
        </w:rPr>
        <w:t>0.36万元</w:t>
      </w:r>
      <w:r>
        <w:rPr>
          <w:rFonts w:ascii="FangSong_GB2312" w:hAnsi="FangSong_GB2312" w:eastAsia="FangSong_GB2312" w:cs="FangSong_GB2312"/>
          <w:kern w:val="0"/>
          <w:sz w:val="32"/>
          <w:szCs w:val="32"/>
          <w:u w:val="none" w:color="auto"/>
        </w:rPr>
        <w:t>、培训费</w:t>
      </w:r>
      <w:r>
        <w:rPr>
          <w:rFonts w:hint="eastAsia" w:ascii="FangSong_GB2312" w:hAnsi="FangSong_GB2312" w:eastAsia="FangSong_GB2312" w:cs="FangSong_GB2312"/>
          <w:kern w:val="0"/>
          <w:sz w:val="32"/>
          <w:szCs w:val="32"/>
          <w:u w:val="none" w:color="auto"/>
          <w:lang w:val="en-US" w:eastAsia="zh-CN"/>
        </w:rPr>
        <w:t>1.71万元</w:t>
      </w:r>
      <w:r>
        <w:rPr>
          <w:rFonts w:ascii="FangSong_GB2312" w:hAnsi="FangSong_GB2312" w:eastAsia="FangSong_GB2312" w:cs="FangSong_GB2312"/>
          <w:kern w:val="0"/>
          <w:sz w:val="32"/>
          <w:szCs w:val="32"/>
          <w:u w:val="none" w:color="auto"/>
        </w:rPr>
        <w:t>、劳务费</w:t>
      </w:r>
      <w:r>
        <w:rPr>
          <w:rFonts w:hint="eastAsia" w:ascii="FangSong_GB2312" w:hAnsi="FangSong_GB2312" w:eastAsia="FangSong_GB2312" w:cs="FangSong_GB2312"/>
          <w:kern w:val="0"/>
          <w:sz w:val="32"/>
          <w:szCs w:val="32"/>
          <w:u w:val="none" w:color="auto"/>
          <w:lang w:val="en-US" w:eastAsia="zh-CN"/>
        </w:rPr>
        <w:t>9.54万元</w:t>
      </w:r>
      <w:r>
        <w:rPr>
          <w:rFonts w:ascii="FangSong_GB2312" w:hAnsi="FangSong_GB2312" w:eastAsia="FangSong_GB2312" w:cs="FangSong_GB2312"/>
          <w:kern w:val="0"/>
          <w:sz w:val="32"/>
          <w:szCs w:val="32"/>
          <w:u w:val="none" w:color="auto"/>
        </w:rPr>
        <w:t>、福利费</w:t>
      </w:r>
      <w:r>
        <w:rPr>
          <w:rFonts w:hint="eastAsia" w:ascii="FangSong_GB2312" w:hAnsi="FangSong_GB2312" w:eastAsia="FangSong_GB2312" w:cs="FangSong_GB2312"/>
          <w:kern w:val="0"/>
          <w:sz w:val="32"/>
          <w:szCs w:val="32"/>
          <w:u w:val="none" w:color="auto"/>
          <w:lang w:val="en-US" w:eastAsia="zh-CN"/>
        </w:rPr>
        <w:t>5.59万元</w:t>
      </w:r>
      <w:r>
        <w:rPr>
          <w:rFonts w:ascii="FangSong_GB2312" w:hAnsi="FangSong_GB2312" w:eastAsia="FangSong_GB2312" w:cs="FangSong_GB2312"/>
          <w:kern w:val="0"/>
          <w:sz w:val="32"/>
          <w:szCs w:val="32"/>
          <w:u w:val="none" w:color="auto"/>
        </w:rPr>
        <w:t>、公务用车运行维护费</w:t>
      </w:r>
      <w:r>
        <w:rPr>
          <w:rFonts w:hint="eastAsia" w:ascii="FangSong_GB2312" w:hAnsi="FangSong_GB2312" w:eastAsia="FangSong_GB2312" w:cs="FangSong_GB2312"/>
          <w:kern w:val="0"/>
          <w:sz w:val="32"/>
          <w:szCs w:val="32"/>
          <w:u w:val="none" w:color="auto"/>
          <w:lang w:val="en-US" w:eastAsia="zh-CN"/>
        </w:rPr>
        <w:t>6.44万元</w:t>
      </w:r>
      <w:r>
        <w:rPr>
          <w:rFonts w:ascii="FangSong_GB2312" w:hAnsi="FangSong_GB2312" w:eastAsia="FangSong_GB2312" w:cs="FangSong_GB2312"/>
          <w:kern w:val="0"/>
          <w:sz w:val="32"/>
          <w:szCs w:val="32"/>
          <w:u w:val="none" w:color="auto"/>
        </w:rPr>
        <w:t>、其他商品和服务支出</w:t>
      </w:r>
      <w:r>
        <w:rPr>
          <w:rFonts w:hint="eastAsia" w:ascii="FangSong_GB2312" w:hAnsi="FangSong_GB2312" w:eastAsia="FangSong_GB2312" w:cs="FangSong_GB2312"/>
          <w:kern w:val="0"/>
          <w:sz w:val="32"/>
          <w:szCs w:val="32"/>
          <w:u w:val="none" w:color="auto"/>
          <w:lang w:val="en-US" w:eastAsia="zh-CN"/>
        </w:rPr>
        <w:t>0.14万元</w:t>
      </w:r>
      <w:r>
        <w:rPr>
          <w:rFonts w:ascii="FangSong_GB2312" w:hAnsi="FangSong_GB2312" w:eastAsia="FangSong_GB2312" w:cs="FangSong_GB2312"/>
          <w:kern w:val="0"/>
          <w:sz w:val="32"/>
          <w:szCs w:val="32"/>
          <w:u w:val="none" w:color="auto"/>
        </w:rPr>
        <w:t>。</w:t>
      </w:r>
    </w:p>
    <w:p w14:paraId="7B6A8B2A">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七、一般公共预算财政拨款项目支出决算情况说明</w:t>
      </w:r>
    </w:p>
    <w:p w14:paraId="39B5A85A">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ascii="Times New Roman" w:hAnsi="Times New Roman" w:eastAsia="Times New Roman" w:cs="Times New Roman"/>
          <w:kern w:val="0"/>
          <w:sz w:val="24"/>
          <w:u w:val="none" w:color="auto"/>
        </w:rPr>
        <w:t xml:space="preserve">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年度一般公共预算财政拨款项目支出决算</w:t>
      </w:r>
      <w:r>
        <w:rPr>
          <w:rFonts w:eastAsia="Times New Roman"/>
          <w:kern w:val="0"/>
          <w:sz w:val="32"/>
          <w:szCs w:val="32"/>
          <w:u w:val="none" w:color="auto"/>
          <w:lang w:eastAsia="en-US"/>
        </w:rPr>
        <w:t xml:space="preserve"> 278.02</w:t>
      </w:r>
      <w:r>
        <w:rPr>
          <w:rFonts w:ascii="FangSong_GB2312" w:hAnsi="FangSong_GB2312" w:eastAsia="FangSong_GB2312" w:cs="FangSong_GB2312"/>
          <w:kern w:val="0"/>
          <w:sz w:val="32"/>
          <w:szCs w:val="32"/>
          <w:u w:val="none" w:color="auto"/>
        </w:rPr>
        <w:t>万元，其中：</w:t>
      </w:r>
    </w:p>
    <w:p w14:paraId="0E86359B">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商品和服务支出</w:t>
      </w:r>
      <w:r>
        <w:rPr>
          <w:rFonts w:eastAsia="Times New Roman"/>
          <w:kern w:val="0"/>
          <w:sz w:val="32"/>
          <w:szCs w:val="32"/>
          <w:u w:val="none" w:color="auto"/>
          <w:lang w:eastAsia="en-US"/>
        </w:rPr>
        <w:t xml:space="preserve"> 278.02</w:t>
      </w:r>
      <w:r>
        <w:rPr>
          <w:rFonts w:ascii="FangSong_GB2312" w:hAnsi="FangSong_GB2312" w:eastAsia="FangSong_GB2312" w:cs="FangSong_GB2312"/>
          <w:b/>
          <w:bCs/>
          <w:kern w:val="0"/>
          <w:sz w:val="32"/>
          <w:szCs w:val="32"/>
          <w:u w:val="none" w:color="auto"/>
        </w:rPr>
        <w:t>万元。</w:t>
      </w:r>
      <w:r>
        <w:rPr>
          <w:rFonts w:ascii="FangSong_GB2312" w:hAnsi="FangSong_GB2312" w:eastAsia="FangSong_GB2312" w:cs="FangSong_GB2312"/>
          <w:kern w:val="0"/>
          <w:sz w:val="32"/>
          <w:szCs w:val="32"/>
          <w:u w:val="none" w:color="auto"/>
        </w:rPr>
        <w:t>主要包括：差旅费</w:t>
      </w:r>
      <w:r>
        <w:rPr>
          <w:rFonts w:hint="eastAsia" w:ascii="FangSong_GB2312" w:hAnsi="FangSong_GB2312" w:eastAsia="FangSong_GB2312" w:cs="FangSong_GB2312"/>
          <w:kern w:val="0"/>
          <w:sz w:val="32"/>
          <w:szCs w:val="32"/>
          <w:u w:val="none" w:color="auto"/>
          <w:lang w:val="en-US" w:eastAsia="zh-CN"/>
        </w:rPr>
        <w:t>16.43万元</w:t>
      </w:r>
      <w:r>
        <w:rPr>
          <w:rFonts w:ascii="FangSong_GB2312" w:hAnsi="FangSong_GB2312" w:eastAsia="FangSong_GB2312" w:cs="FangSong_GB2312"/>
          <w:kern w:val="0"/>
          <w:sz w:val="32"/>
          <w:szCs w:val="32"/>
          <w:u w:val="none" w:color="auto"/>
        </w:rPr>
        <w:t>、委托业务费</w:t>
      </w:r>
      <w:r>
        <w:rPr>
          <w:rFonts w:hint="eastAsia" w:ascii="FangSong_GB2312" w:hAnsi="FangSong_GB2312" w:eastAsia="FangSong_GB2312" w:cs="FangSong_GB2312"/>
          <w:kern w:val="0"/>
          <w:sz w:val="32"/>
          <w:szCs w:val="32"/>
          <w:u w:val="none" w:color="auto"/>
          <w:lang w:val="en-US" w:eastAsia="zh-CN"/>
        </w:rPr>
        <w:t>261.59万元</w:t>
      </w:r>
      <w:r>
        <w:rPr>
          <w:rFonts w:ascii="FangSong_GB2312" w:hAnsi="FangSong_GB2312" w:eastAsia="FangSong_GB2312" w:cs="FangSong_GB2312"/>
          <w:kern w:val="0"/>
          <w:sz w:val="32"/>
          <w:szCs w:val="32"/>
          <w:u w:val="none" w:color="auto"/>
        </w:rPr>
        <w:t>。</w:t>
      </w:r>
    </w:p>
    <w:p w14:paraId="567F1787">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八、财政拨款</w:t>
      </w:r>
      <w:r>
        <w:rPr>
          <w:rFonts w:ascii="Times New Roman" w:hAnsi="Times New Roman" w:eastAsia="Times New Roman" w:cs="Times New Roman"/>
          <w:b/>
          <w:bCs/>
          <w:kern w:val="0"/>
          <w:sz w:val="32"/>
          <w:szCs w:val="32"/>
          <w:u w:val="none" w:color="auto"/>
          <w:lang w:eastAsia="en-US"/>
        </w:rPr>
        <w:t>“</w:t>
      </w:r>
      <w:r>
        <w:rPr>
          <w:rFonts w:ascii="黑体" w:hAnsi="黑体" w:eastAsia="黑体" w:cs="黑体"/>
          <w:b/>
          <w:bCs/>
          <w:kern w:val="0"/>
          <w:sz w:val="32"/>
          <w:szCs w:val="32"/>
          <w:u w:val="none" w:color="auto"/>
        </w:rPr>
        <w:t>三公</w:t>
      </w:r>
      <w:r>
        <w:rPr>
          <w:rFonts w:ascii="Times New Roman" w:hAnsi="Times New Roman" w:eastAsia="Times New Roman" w:cs="Times New Roman"/>
          <w:b/>
          <w:bCs/>
          <w:kern w:val="0"/>
          <w:sz w:val="32"/>
          <w:szCs w:val="32"/>
          <w:u w:val="none" w:color="auto"/>
          <w:lang w:eastAsia="en-US"/>
        </w:rPr>
        <w:t>”</w:t>
      </w:r>
      <w:r>
        <w:rPr>
          <w:rFonts w:ascii="黑体" w:hAnsi="黑体" w:eastAsia="黑体" w:cs="黑体"/>
          <w:b/>
          <w:bCs/>
          <w:kern w:val="0"/>
          <w:sz w:val="32"/>
          <w:szCs w:val="32"/>
          <w:u w:val="none" w:color="auto"/>
        </w:rPr>
        <w:t>经费支出决算情况说明</w:t>
      </w:r>
    </w:p>
    <w:p w14:paraId="3FA6E2E8">
      <w:pPr>
        <w:pStyle w:val="28"/>
        <w:widowControl/>
        <w:spacing w:before="240" w:after="240"/>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（一）财政拨款</w:t>
      </w:r>
      <w:r>
        <w:rPr>
          <w:rFonts w:ascii="Times New Roman" w:hAnsi="Times New Roman" w:eastAsia="Times New Roman" w:cs="Times New Roman"/>
          <w:b/>
          <w:bCs/>
          <w:kern w:val="0"/>
          <w:sz w:val="32"/>
          <w:szCs w:val="32"/>
          <w:u w:val="none" w:color="auto"/>
          <w:lang w:eastAsia="en-US"/>
        </w:rPr>
        <w:t>“</w:t>
      </w:r>
      <w:r>
        <w:rPr>
          <w:rFonts w:ascii="楷体" w:hAnsi="楷体" w:eastAsia="楷体" w:cs="楷体"/>
          <w:b/>
          <w:bCs/>
          <w:kern w:val="0"/>
          <w:sz w:val="32"/>
          <w:szCs w:val="32"/>
          <w:u w:val="none" w:color="auto"/>
        </w:rPr>
        <w:t>三公</w:t>
      </w:r>
      <w:r>
        <w:rPr>
          <w:rFonts w:ascii="Times New Roman" w:hAnsi="Times New Roman" w:eastAsia="Times New Roman" w:cs="Times New Roman"/>
          <w:b/>
          <w:bCs/>
          <w:kern w:val="0"/>
          <w:sz w:val="32"/>
          <w:szCs w:val="32"/>
          <w:u w:val="none" w:color="auto"/>
          <w:lang w:eastAsia="en-US"/>
        </w:rPr>
        <w:t>”</w:t>
      </w:r>
      <w:r>
        <w:rPr>
          <w:rFonts w:ascii="楷体" w:hAnsi="楷体" w:eastAsia="楷体" w:cs="楷体"/>
          <w:b/>
          <w:bCs/>
          <w:kern w:val="0"/>
          <w:sz w:val="32"/>
          <w:szCs w:val="32"/>
          <w:u w:val="none" w:color="auto"/>
        </w:rPr>
        <w:t>经费支出总体情况说明。</w:t>
      </w:r>
    </w:p>
    <w:p w14:paraId="120A1487">
      <w:pPr>
        <w:pStyle w:val="28"/>
        <w:widowControl/>
        <w:spacing w:before="240" w:after="240" w:line="560" w:lineRule="atLeast"/>
        <w:ind w:firstLine="640"/>
        <w:jc w:val="left"/>
        <w:rPr>
          <w:rFonts w:ascii="FangSong_GB2312" w:hAnsi="FangSong_GB2312" w:eastAsia="FangSong_GB2312" w:cs="FangSong_GB2312"/>
          <w:kern w:val="0"/>
          <w:sz w:val="32"/>
          <w:szCs w:val="32"/>
          <w:u w:val="none" w:color="auto"/>
        </w:rPr>
      </w:pPr>
      <w:r>
        <w:rPr>
          <w:rFonts w:ascii="FangSong_GB2312" w:hAnsi="FangSong_GB2312" w:eastAsia="FangSong_GB2312" w:cs="FangSong_GB2312"/>
          <w:kern w:val="0"/>
          <w:sz w:val="32"/>
          <w:szCs w:val="32"/>
          <w:u w:val="none" w:color="auto"/>
        </w:rPr>
        <w:t>赤峰市食品药品安全监测中心</w:t>
      </w:r>
      <w:r>
        <w:rPr>
          <w:rFonts w:ascii="Times New Roman" w:hAnsi="Times New Roman" w:eastAsia="Times New Roman" w:cs="Times New Roman"/>
          <w:kern w:val="0"/>
          <w:sz w:val="24"/>
          <w:u w:val="none" w:color="auto"/>
        </w:rPr>
        <w:t xml:space="preserve">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年度财政拨款“三公”经费全年预算</w:t>
      </w:r>
      <w:r>
        <w:rPr>
          <w:rFonts w:eastAsia="Times New Roman"/>
          <w:kern w:val="0"/>
          <w:sz w:val="32"/>
          <w:szCs w:val="32"/>
          <w:u w:val="none" w:color="auto"/>
          <w:lang w:eastAsia="en-US"/>
        </w:rPr>
        <w:t xml:space="preserve"> 10.00</w:t>
      </w:r>
      <w:r>
        <w:rPr>
          <w:rFonts w:ascii="FangSong_GB2312" w:hAnsi="FangSong_GB2312" w:eastAsia="FangSong_GB2312" w:cs="FangSong_GB2312"/>
          <w:kern w:val="0"/>
          <w:sz w:val="32"/>
          <w:szCs w:val="32"/>
          <w:u w:val="none" w:color="auto"/>
        </w:rPr>
        <w:t>万元，支出决算</w:t>
      </w:r>
      <w:r>
        <w:rPr>
          <w:rFonts w:eastAsia="Times New Roman"/>
          <w:kern w:val="0"/>
          <w:sz w:val="32"/>
          <w:szCs w:val="32"/>
          <w:u w:val="none" w:color="auto"/>
          <w:lang w:eastAsia="en-US"/>
        </w:rPr>
        <w:t xml:space="preserve"> 6.44</w:t>
      </w:r>
      <w:r>
        <w:rPr>
          <w:rFonts w:ascii="FangSong_GB2312" w:hAnsi="FangSong_GB2312" w:eastAsia="FangSong_GB2312" w:cs="FangSong_GB2312"/>
          <w:kern w:val="0"/>
          <w:sz w:val="32"/>
          <w:szCs w:val="32"/>
          <w:u w:val="none" w:color="auto"/>
        </w:rPr>
        <w:t>万元，完成预算的</w:t>
      </w:r>
      <w:r>
        <w:rPr>
          <w:rFonts w:eastAsia="Times New Roman"/>
          <w:kern w:val="0"/>
          <w:sz w:val="32"/>
          <w:szCs w:val="32"/>
          <w:u w:val="none" w:color="auto"/>
          <w:lang w:eastAsia="en-US"/>
        </w:rPr>
        <w:t xml:space="preserve"> 64.38</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。其中：因公出国（境）费全年预算</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万元，支出决算</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万元，完成预算的</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；公务用车购置及运行维护费全年预算</w:t>
      </w:r>
      <w:r>
        <w:rPr>
          <w:rFonts w:eastAsia="Times New Roman"/>
          <w:kern w:val="0"/>
          <w:sz w:val="32"/>
          <w:szCs w:val="32"/>
          <w:u w:val="none" w:color="auto"/>
          <w:lang w:eastAsia="en-US"/>
        </w:rPr>
        <w:t xml:space="preserve"> 10.00</w:t>
      </w:r>
      <w:r>
        <w:rPr>
          <w:rFonts w:ascii="FangSong_GB2312" w:hAnsi="FangSong_GB2312" w:eastAsia="FangSong_GB2312" w:cs="FangSong_GB2312"/>
          <w:kern w:val="0"/>
          <w:sz w:val="32"/>
          <w:szCs w:val="32"/>
          <w:u w:val="none" w:color="auto"/>
        </w:rPr>
        <w:t>万元，支出决算</w:t>
      </w:r>
      <w:r>
        <w:rPr>
          <w:rFonts w:eastAsia="Times New Roman"/>
          <w:kern w:val="0"/>
          <w:sz w:val="32"/>
          <w:szCs w:val="32"/>
          <w:u w:val="none" w:color="auto"/>
          <w:lang w:eastAsia="en-US"/>
        </w:rPr>
        <w:t xml:space="preserve"> 6.44</w:t>
      </w:r>
      <w:r>
        <w:rPr>
          <w:rFonts w:ascii="FangSong_GB2312" w:hAnsi="FangSong_GB2312" w:eastAsia="FangSong_GB2312" w:cs="FangSong_GB2312"/>
          <w:kern w:val="0"/>
          <w:sz w:val="32"/>
          <w:szCs w:val="32"/>
          <w:u w:val="none" w:color="auto"/>
        </w:rPr>
        <w:t>万元，完成预算的</w:t>
      </w:r>
      <w:r>
        <w:rPr>
          <w:rFonts w:eastAsia="Times New Roman"/>
          <w:kern w:val="0"/>
          <w:sz w:val="32"/>
          <w:szCs w:val="32"/>
          <w:u w:val="none" w:color="auto"/>
          <w:lang w:eastAsia="en-US"/>
        </w:rPr>
        <w:t xml:space="preserve"> 64.38</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；公务接待费全年预算</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万元，支出决算</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万元，完成预算的</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年度一般公共预算财政拨款“三公”经费全年预算</w:t>
      </w:r>
      <w:r>
        <w:rPr>
          <w:rFonts w:eastAsia="Times New Roman"/>
          <w:kern w:val="0"/>
          <w:sz w:val="32"/>
          <w:szCs w:val="32"/>
          <w:u w:val="none" w:color="auto"/>
          <w:lang w:eastAsia="en-US"/>
        </w:rPr>
        <w:t xml:space="preserve"> 10.00</w:t>
      </w:r>
      <w:r>
        <w:rPr>
          <w:rFonts w:ascii="FangSong_GB2312" w:hAnsi="FangSong_GB2312" w:eastAsia="FangSong_GB2312" w:cs="FangSong_GB2312"/>
          <w:kern w:val="0"/>
          <w:sz w:val="32"/>
          <w:szCs w:val="32"/>
          <w:u w:val="none" w:color="auto"/>
        </w:rPr>
        <w:t>万元，支出决算</w:t>
      </w:r>
      <w:r>
        <w:rPr>
          <w:rFonts w:eastAsia="Times New Roman"/>
          <w:kern w:val="0"/>
          <w:sz w:val="32"/>
          <w:szCs w:val="32"/>
          <w:u w:val="none" w:color="auto"/>
          <w:lang w:eastAsia="en-US"/>
        </w:rPr>
        <w:t xml:space="preserve"> 6.44</w:t>
      </w:r>
      <w:r>
        <w:rPr>
          <w:rFonts w:ascii="FangSong_GB2312" w:hAnsi="FangSong_GB2312" w:eastAsia="FangSong_GB2312" w:cs="FangSong_GB2312"/>
          <w:kern w:val="0"/>
          <w:sz w:val="32"/>
          <w:szCs w:val="32"/>
          <w:u w:val="none" w:color="auto"/>
        </w:rPr>
        <w:t>万元，与预算差异原因</w:t>
      </w:r>
      <w:r>
        <w:rPr>
          <w:rFonts w:hint="eastAsia" w:ascii="FangSong_GB2312" w:hAnsi="FangSong_GB2312" w:eastAsia="FangSong_GB2312" w:cs="FangSong_GB2312"/>
          <w:kern w:val="0"/>
          <w:sz w:val="32"/>
          <w:szCs w:val="32"/>
          <w:u w:val="none" w:color="auto"/>
          <w:lang w:val="en-US" w:eastAsia="zh-CN"/>
        </w:rPr>
        <w:t>对日常工作用车需求和安全的实际支出，同时保障顺利完成对食品药品安全监督抽检工作任务。</w:t>
      </w:r>
    </w:p>
    <w:p w14:paraId="78EEA640">
      <w:pPr>
        <w:pStyle w:val="28"/>
        <w:widowControl/>
        <w:spacing w:before="240" w:after="240"/>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（二）财政拨款</w:t>
      </w:r>
      <w:r>
        <w:rPr>
          <w:rFonts w:ascii="Times New Roman" w:hAnsi="Times New Roman" w:eastAsia="Times New Roman" w:cs="Times New Roman"/>
          <w:b/>
          <w:bCs/>
          <w:kern w:val="0"/>
          <w:sz w:val="32"/>
          <w:szCs w:val="32"/>
          <w:u w:val="none" w:color="auto"/>
          <w:lang w:eastAsia="en-US"/>
        </w:rPr>
        <w:t>“</w:t>
      </w:r>
      <w:r>
        <w:rPr>
          <w:rFonts w:ascii="楷体" w:hAnsi="楷体" w:eastAsia="楷体" w:cs="楷体"/>
          <w:b/>
          <w:bCs/>
          <w:kern w:val="0"/>
          <w:sz w:val="32"/>
          <w:szCs w:val="32"/>
          <w:u w:val="none" w:color="auto"/>
        </w:rPr>
        <w:t>三公</w:t>
      </w:r>
      <w:r>
        <w:rPr>
          <w:rFonts w:ascii="Times New Roman" w:hAnsi="Times New Roman" w:eastAsia="Times New Roman" w:cs="Times New Roman"/>
          <w:b/>
          <w:bCs/>
          <w:kern w:val="0"/>
          <w:sz w:val="32"/>
          <w:szCs w:val="32"/>
          <w:u w:val="none" w:color="auto"/>
          <w:lang w:eastAsia="en-US"/>
        </w:rPr>
        <w:t>”</w:t>
      </w:r>
      <w:r>
        <w:rPr>
          <w:rFonts w:ascii="楷体" w:hAnsi="楷体" w:eastAsia="楷体" w:cs="楷体"/>
          <w:b/>
          <w:bCs/>
          <w:kern w:val="0"/>
          <w:sz w:val="32"/>
          <w:szCs w:val="32"/>
          <w:u w:val="none" w:color="auto"/>
        </w:rPr>
        <w:t>经费支出具体情况说明。</w:t>
      </w:r>
    </w:p>
    <w:p w14:paraId="5F437DE1">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ascii="Times New Roman" w:hAnsi="Times New Roman" w:eastAsia="Times New Roman" w:cs="Times New Roman"/>
          <w:kern w:val="0"/>
          <w:sz w:val="24"/>
          <w:u w:val="none" w:color="auto"/>
        </w:rPr>
        <w:t xml:space="preserve">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年度财政拨款“三公”经费支出</w:t>
      </w:r>
      <w:r>
        <w:rPr>
          <w:rFonts w:eastAsia="Times New Roman"/>
          <w:kern w:val="0"/>
          <w:sz w:val="32"/>
          <w:szCs w:val="32"/>
          <w:u w:val="none" w:color="auto"/>
          <w:lang w:eastAsia="en-US"/>
        </w:rPr>
        <w:t xml:space="preserve"> 6.44</w:t>
      </w:r>
      <w:r>
        <w:rPr>
          <w:rFonts w:ascii="FangSong_GB2312" w:hAnsi="FangSong_GB2312" w:eastAsia="FangSong_GB2312" w:cs="FangSong_GB2312"/>
          <w:kern w:val="0"/>
          <w:sz w:val="32"/>
          <w:szCs w:val="32"/>
          <w:u w:val="none" w:color="auto"/>
        </w:rPr>
        <w:t>万元。因公出国（境）费支出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；公务用车购置及运行维护费支出</w:t>
      </w:r>
      <w:r>
        <w:rPr>
          <w:rFonts w:eastAsia="Times New Roman"/>
          <w:kern w:val="0"/>
          <w:sz w:val="32"/>
          <w:szCs w:val="32"/>
          <w:u w:val="none" w:color="auto"/>
          <w:lang w:eastAsia="en-US"/>
        </w:rPr>
        <w:t xml:space="preserve"> 6.44</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100.00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；公务接待费支出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。其中：</w:t>
      </w:r>
    </w:p>
    <w:p w14:paraId="681D8662">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b/>
          <w:bCs/>
          <w:kern w:val="0"/>
          <w:sz w:val="32"/>
          <w:szCs w:val="32"/>
          <w:u w:val="none" w:color="auto"/>
          <w:lang w:eastAsia="en-US"/>
        </w:rPr>
        <w:t>1</w:t>
      </w:r>
      <w:r>
        <w:rPr>
          <w:rFonts w:ascii="FangSong_GB2312" w:hAnsi="FangSong_GB2312" w:eastAsia="FangSong_GB2312" w:cs="FangSong_GB2312"/>
          <w:b/>
          <w:bCs/>
          <w:kern w:val="0"/>
          <w:sz w:val="32"/>
          <w:szCs w:val="32"/>
          <w:u w:val="none" w:color="auto"/>
          <w:lang w:eastAsia="en-US"/>
        </w:rPr>
        <w:t>.</w:t>
      </w:r>
      <w:r>
        <w:rPr>
          <w:rFonts w:ascii="FangSong_GB2312" w:hAnsi="FangSong_GB2312" w:eastAsia="FangSong_GB2312" w:cs="FangSong_GB2312"/>
          <w:b/>
          <w:bCs/>
          <w:kern w:val="0"/>
          <w:sz w:val="32"/>
          <w:szCs w:val="32"/>
          <w:u w:val="none" w:color="auto"/>
        </w:rPr>
        <w:t>因公出国（境）费支出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万元，全年出国（境）团组</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个，累计</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人次。与上年决算相比，增加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eastAsia="zh-CN"/>
        </w:rPr>
        <w:t>无变动原因</w:t>
      </w:r>
      <w:r>
        <w:rPr>
          <w:rFonts w:ascii="FangSong_GB2312" w:hAnsi="FangSong_GB2312" w:eastAsia="FangSong_GB2312" w:cs="FangSong_GB2312"/>
          <w:kern w:val="0"/>
          <w:sz w:val="32"/>
          <w:szCs w:val="32"/>
          <w:u w:val="none" w:color="auto"/>
        </w:rPr>
        <w:t>。</w:t>
      </w:r>
    </w:p>
    <w:p w14:paraId="605E1889">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b/>
          <w:bCs/>
          <w:kern w:val="0"/>
          <w:sz w:val="32"/>
          <w:szCs w:val="32"/>
          <w:u w:val="none" w:color="auto"/>
          <w:lang w:eastAsia="en-US"/>
        </w:rPr>
        <w:t>2</w:t>
      </w:r>
      <w:r>
        <w:rPr>
          <w:rFonts w:ascii="FangSong_GB2312" w:hAnsi="FangSong_GB2312" w:eastAsia="FangSong_GB2312" w:cs="FangSong_GB2312"/>
          <w:b/>
          <w:bCs/>
          <w:kern w:val="0"/>
          <w:sz w:val="32"/>
          <w:szCs w:val="32"/>
          <w:u w:val="none" w:color="auto"/>
          <w:lang w:eastAsia="en-US"/>
        </w:rPr>
        <w:t>.</w:t>
      </w:r>
      <w:r>
        <w:rPr>
          <w:rFonts w:ascii="FangSong_GB2312" w:hAnsi="FangSong_GB2312" w:eastAsia="FangSong_GB2312" w:cs="FangSong_GB2312"/>
          <w:b/>
          <w:bCs/>
          <w:kern w:val="0"/>
          <w:sz w:val="32"/>
          <w:szCs w:val="32"/>
          <w:u w:val="none" w:color="auto"/>
        </w:rPr>
        <w:t>公务用车购置及运行维护费支出</w:t>
      </w:r>
      <w:r>
        <w:rPr>
          <w:rFonts w:eastAsia="Times New Roman"/>
          <w:kern w:val="0"/>
          <w:sz w:val="32"/>
          <w:szCs w:val="32"/>
          <w:u w:val="none" w:color="auto"/>
          <w:lang w:eastAsia="en-US"/>
        </w:rPr>
        <w:t xml:space="preserve"> 6.44</w:t>
      </w:r>
      <w:r>
        <w:rPr>
          <w:rFonts w:ascii="FangSong_GB2312" w:hAnsi="FangSong_GB2312" w:eastAsia="FangSong_GB2312" w:cs="FangSong_GB2312"/>
          <w:kern w:val="0"/>
          <w:sz w:val="32"/>
          <w:szCs w:val="32"/>
          <w:u w:val="none" w:color="auto"/>
        </w:rPr>
        <w:t>万元。其中：</w:t>
      </w:r>
    </w:p>
    <w:p w14:paraId="09556AE6">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w:t>
      </w:r>
      <w:r>
        <w:rPr>
          <w:rFonts w:eastAsia="Times New Roman"/>
          <w:b/>
          <w:bCs/>
          <w:kern w:val="0"/>
          <w:sz w:val="32"/>
          <w:szCs w:val="32"/>
          <w:u w:val="none" w:color="auto"/>
          <w:lang w:eastAsia="en-US"/>
        </w:rPr>
        <w:t>1</w:t>
      </w:r>
      <w:r>
        <w:rPr>
          <w:rFonts w:ascii="FangSong_GB2312" w:hAnsi="FangSong_GB2312" w:eastAsia="FangSong_GB2312" w:cs="FangSong_GB2312"/>
          <w:b/>
          <w:bCs/>
          <w:kern w:val="0"/>
          <w:sz w:val="32"/>
          <w:szCs w:val="32"/>
          <w:u w:val="none" w:color="auto"/>
        </w:rPr>
        <w:t>）公务用车购置支出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万元。本年度使用财政拨款购置公务用车</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辆。与上年决算相比，增加</w:t>
      </w:r>
      <w:r>
        <w:rPr>
          <w:rFonts w:eastAsia="Times New Roman"/>
          <w:kern w:val="0"/>
          <w:sz w:val="32"/>
          <w:szCs w:val="32"/>
          <w:u w:val="none" w:color="auto"/>
        </w:rPr>
        <w:t xml:space="preserve"> 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eastAsia="zh-CN"/>
        </w:rPr>
        <w:t>无变动原因</w:t>
      </w:r>
      <w:r>
        <w:rPr>
          <w:rFonts w:ascii="FangSong_GB2312" w:hAnsi="FangSong_GB2312" w:eastAsia="FangSong_GB2312" w:cs="FangSong_GB2312"/>
          <w:kern w:val="0"/>
          <w:sz w:val="32"/>
          <w:szCs w:val="32"/>
          <w:u w:val="none" w:color="auto"/>
        </w:rPr>
        <w:t>。</w:t>
      </w:r>
    </w:p>
    <w:p w14:paraId="24BC6CCD">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w:t>
      </w:r>
      <w:r>
        <w:rPr>
          <w:rFonts w:eastAsia="Times New Roman"/>
          <w:b/>
          <w:bCs/>
          <w:kern w:val="0"/>
          <w:sz w:val="32"/>
          <w:szCs w:val="32"/>
          <w:u w:val="none" w:color="auto"/>
          <w:lang w:eastAsia="en-US"/>
        </w:rPr>
        <w:t>2</w:t>
      </w:r>
      <w:r>
        <w:rPr>
          <w:rFonts w:ascii="FangSong_GB2312" w:hAnsi="FangSong_GB2312" w:eastAsia="FangSong_GB2312" w:cs="FangSong_GB2312"/>
          <w:b/>
          <w:bCs/>
          <w:kern w:val="0"/>
          <w:sz w:val="32"/>
          <w:szCs w:val="32"/>
          <w:u w:val="none" w:color="auto"/>
        </w:rPr>
        <w:t>）公务用车运行维护费支出</w:t>
      </w:r>
      <w:r>
        <w:rPr>
          <w:rFonts w:eastAsia="Times New Roman"/>
          <w:kern w:val="0"/>
          <w:sz w:val="32"/>
          <w:szCs w:val="32"/>
          <w:u w:val="none" w:color="auto"/>
          <w:lang w:eastAsia="en-US"/>
        </w:rPr>
        <w:t xml:space="preserve"> 6.44</w:t>
      </w:r>
      <w:r>
        <w:rPr>
          <w:rFonts w:ascii="FangSong_GB2312" w:hAnsi="FangSong_GB2312" w:eastAsia="FangSong_GB2312" w:cs="FangSong_GB2312"/>
          <w:kern w:val="0"/>
          <w:sz w:val="32"/>
          <w:szCs w:val="32"/>
          <w:u w:val="none" w:color="auto"/>
        </w:rPr>
        <w:t>万元。公务用车运行维护费主要用于按规定保留的公务用车的燃料费、</w:t>
      </w:r>
      <w:r>
        <w:rPr>
          <w:rFonts w:ascii="FangSong_GB2312" w:hAnsi="FangSong_GB2312" w:eastAsia="FangSong_GB2312" w:cs="FangSong_GB2312"/>
          <w:color w:val="000000"/>
          <w:kern w:val="0"/>
          <w:sz w:val="32"/>
          <w:szCs w:val="32"/>
          <w:u w:val="none" w:color="auto"/>
        </w:rPr>
        <w:t>新能源汽车充电费、</w:t>
      </w:r>
      <w:r>
        <w:rPr>
          <w:rFonts w:ascii="FangSong_GB2312" w:hAnsi="FangSong_GB2312" w:eastAsia="FangSong_GB2312" w:cs="FangSong_GB2312"/>
          <w:kern w:val="0"/>
          <w:sz w:val="32"/>
          <w:szCs w:val="32"/>
          <w:u w:val="none" w:color="auto"/>
        </w:rPr>
        <w:t>维修费、过桥过路费、保险费、安全奖励费用等支出。截至</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w:t>
      </w:r>
      <w:r>
        <w:rPr>
          <w:rFonts w:eastAsia="Times New Roman"/>
          <w:kern w:val="0"/>
          <w:sz w:val="32"/>
          <w:szCs w:val="32"/>
          <w:u w:val="none" w:color="auto"/>
          <w:lang w:eastAsia="en-US"/>
        </w:rPr>
        <w:t>12</w:t>
      </w:r>
      <w:r>
        <w:rPr>
          <w:rFonts w:ascii="FangSong_GB2312" w:hAnsi="FangSong_GB2312" w:eastAsia="FangSong_GB2312" w:cs="FangSong_GB2312"/>
          <w:kern w:val="0"/>
          <w:sz w:val="32"/>
          <w:szCs w:val="32"/>
          <w:u w:val="none" w:color="auto"/>
        </w:rPr>
        <w:t>月</w:t>
      </w:r>
      <w:r>
        <w:rPr>
          <w:rFonts w:eastAsia="Times New Roman"/>
          <w:kern w:val="0"/>
          <w:sz w:val="32"/>
          <w:szCs w:val="32"/>
          <w:u w:val="none" w:color="auto"/>
          <w:lang w:eastAsia="en-US"/>
        </w:rPr>
        <w:t>31</w:t>
      </w:r>
      <w:r>
        <w:rPr>
          <w:rFonts w:ascii="FangSong_GB2312" w:hAnsi="FangSong_GB2312" w:eastAsia="FangSong_GB2312" w:cs="FangSong_GB2312"/>
          <w:kern w:val="0"/>
          <w:sz w:val="32"/>
          <w:szCs w:val="32"/>
          <w:u w:val="none" w:color="auto"/>
        </w:rPr>
        <w:t>日，使用财政拨款开支的公务用车保有量为</w:t>
      </w:r>
      <w:r>
        <w:rPr>
          <w:rFonts w:eastAsia="Times New Roman"/>
          <w:kern w:val="0"/>
          <w:sz w:val="32"/>
          <w:szCs w:val="32"/>
          <w:u w:val="none" w:color="auto"/>
          <w:lang w:eastAsia="en-US"/>
        </w:rPr>
        <w:t xml:space="preserve">3 </w:t>
      </w:r>
      <w:r>
        <w:rPr>
          <w:rFonts w:ascii="FangSong_GB2312" w:hAnsi="FangSong_GB2312" w:eastAsia="FangSong_GB2312" w:cs="FangSong_GB2312"/>
          <w:kern w:val="0"/>
          <w:sz w:val="32"/>
          <w:szCs w:val="32"/>
          <w:u w:val="none" w:color="auto"/>
        </w:rPr>
        <w:t>辆。与上年决算相比，减少</w:t>
      </w:r>
      <w:r>
        <w:rPr>
          <w:rFonts w:eastAsia="Times New Roman"/>
          <w:kern w:val="0"/>
          <w:sz w:val="32"/>
          <w:szCs w:val="32"/>
          <w:u w:val="none" w:color="auto"/>
          <w:lang w:eastAsia="en-US"/>
        </w:rPr>
        <w:t>0.59</w:t>
      </w:r>
      <w:r>
        <w:rPr>
          <w:rFonts w:ascii="FangSong_GB2312" w:hAnsi="FangSong_GB2312" w:eastAsia="FangSong_GB2312" w:cs="FangSong_GB2312"/>
          <w:kern w:val="0"/>
          <w:sz w:val="32"/>
          <w:szCs w:val="32"/>
          <w:u w:val="none" w:color="auto"/>
        </w:rPr>
        <w:t>万元，下降</w:t>
      </w:r>
      <w:r>
        <w:rPr>
          <w:rFonts w:eastAsia="Times New Roman"/>
          <w:kern w:val="0"/>
          <w:sz w:val="32"/>
          <w:szCs w:val="32"/>
          <w:u w:val="none" w:color="auto"/>
          <w:lang w:eastAsia="en-US"/>
        </w:rPr>
        <w:t>8.40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eastAsia="zh-CN"/>
        </w:rPr>
        <w:t>单位车辆保险降低和车辆维修情况减少</w:t>
      </w:r>
      <w:r>
        <w:rPr>
          <w:rFonts w:ascii="FangSong_GB2312" w:hAnsi="FangSong_GB2312" w:eastAsia="FangSong_GB2312" w:cs="FangSong_GB2312"/>
          <w:kern w:val="0"/>
          <w:sz w:val="32"/>
          <w:szCs w:val="32"/>
          <w:u w:val="none" w:color="auto"/>
        </w:rPr>
        <w:t>。</w:t>
      </w:r>
    </w:p>
    <w:p w14:paraId="20103A9C">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eastAsia="Times New Roman"/>
          <w:b/>
          <w:bCs/>
          <w:kern w:val="0"/>
          <w:sz w:val="32"/>
          <w:szCs w:val="32"/>
          <w:u w:val="none" w:color="auto"/>
          <w:lang w:eastAsia="en-US"/>
        </w:rPr>
        <w:t>3</w:t>
      </w:r>
      <w:r>
        <w:rPr>
          <w:rFonts w:ascii="FangSong_GB2312" w:hAnsi="FangSong_GB2312" w:eastAsia="FangSong_GB2312" w:cs="FangSong_GB2312"/>
          <w:b/>
          <w:bCs/>
          <w:kern w:val="0"/>
          <w:sz w:val="32"/>
          <w:szCs w:val="32"/>
          <w:u w:val="none" w:color="auto"/>
          <w:lang w:eastAsia="en-US"/>
        </w:rPr>
        <w:t>.</w:t>
      </w:r>
      <w:r>
        <w:rPr>
          <w:rFonts w:ascii="FangSong_GB2312" w:hAnsi="FangSong_GB2312" w:eastAsia="FangSong_GB2312" w:cs="FangSong_GB2312"/>
          <w:b/>
          <w:bCs/>
          <w:kern w:val="0"/>
          <w:sz w:val="32"/>
          <w:szCs w:val="32"/>
          <w:u w:val="none" w:color="auto"/>
        </w:rPr>
        <w:t>公务接待费支出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万元。其中：国内公务接待支出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万元，接待</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批次，</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人；国（境）外公务接待支出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万元，接待</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批次，</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人次。与上年决算相比，增加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eastAsia="zh-CN"/>
        </w:rPr>
        <w:t>无变动原因</w:t>
      </w:r>
      <w:r>
        <w:rPr>
          <w:rFonts w:ascii="FangSong_GB2312" w:hAnsi="FangSong_GB2312" w:eastAsia="FangSong_GB2312" w:cs="FangSong_GB2312"/>
          <w:kern w:val="0"/>
          <w:sz w:val="32"/>
          <w:szCs w:val="32"/>
          <w:u w:val="none" w:color="auto"/>
        </w:rPr>
        <w:t>。</w:t>
      </w:r>
    </w:p>
    <w:p w14:paraId="438A9212">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九、政府性基金预算财政拨款支出决算情况说明</w:t>
      </w:r>
    </w:p>
    <w:p w14:paraId="65A67BF3">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年度政府性基金预算财政拨款支出决算</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万元。与上年决算相比，增加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ascii="FangSong_GB2312" w:hAnsi="FangSong_GB2312" w:eastAsia="FangSong_GB2312" w:cs="FangSong_GB2312"/>
          <w:color w:val="auto"/>
          <w:kern w:val="0"/>
          <w:sz w:val="32"/>
          <w:szCs w:val="32"/>
          <w:u w:val="none" w:color="auto"/>
        </w:rPr>
        <w:t>本年无政府性基金预算财政拨款收、支、余</w:t>
      </w:r>
      <w:r>
        <w:rPr>
          <w:rFonts w:ascii="FangSong_GB2312" w:hAnsi="FangSong_GB2312" w:eastAsia="FangSong_GB2312" w:cs="FangSong_GB2312"/>
          <w:kern w:val="0"/>
          <w:sz w:val="32"/>
          <w:szCs w:val="32"/>
          <w:u w:val="none" w:color="auto"/>
        </w:rPr>
        <w:t>。</w:t>
      </w:r>
    </w:p>
    <w:p w14:paraId="2CE229B5">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十、国有资本经营预算财政拨款支出决算情况说明</w:t>
      </w:r>
    </w:p>
    <w:p w14:paraId="215B5E1C">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年度国有资本经营预算财政拨款支出决算</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万元。与上年决算相比，增加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ascii="FangSong_GB2312" w:hAnsi="FangSong_GB2312" w:eastAsia="FangSong_GB2312" w:cs="FangSong_GB2312"/>
          <w:color w:val="auto"/>
          <w:kern w:val="0"/>
          <w:sz w:val="32"/>
          <w:szCs w:val="32"/>
          <w:u w:val="none" w:color="auto"/>
        </w:rPr>
        <w:t>本年无国有资本经营预算财政拨款收、支、余。</w:t>
      </w:r>
      <w:r>
        <w:rPr>
          <w:rFonts w:ascii="FangSong_GB2312" w:hAnsi="FangSong_GB2312" w:eastAsia="FangSong_GB2312" w:cs="FangSong_GB2312"/>
          <w:kern w:val="0"/>
          <w:sz w:val="32"/>
          <w:szCs w:val="32"/>
          <w:u w:val="none" w:color="auto"/>
        </w:rPr>
        <w:t>其中：</w:t>
      </w:r>
    </w:p>
    <w:p w14:paraId="2A3B4CE0">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十一、机关运行经费（公用经费）支出决算情况说明</w:t>
      </w:r>
    </w:p>
    <w:p w14:paraId="6D1DA1CB">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 xml:space="preserve">赤峰市食品药品安全监测中心 </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年度公用经费支出决算</w:t>
      </w:r>
      <w:r>
        <w:rPr>
          <w:rFonts w:eastAsia="Times New Roman"/>
          <w:kern w:val="0"/>
          <w:sz w:val="32"/>
          <w:szCs w:val="32"/>
          <w:u w:val="none" w:color="auto"/>
          <w:lang w:eastAsia="en-US"/>
        </w:rPr>
        <w:t xml:space="preserve"> 27.85</w:t>
      </w:r>
      <w:r>
        <w:rPr>
          <w:rFonts w:ascii="FangSong_GB2312" w:hAnsi="FangSong_GB2312" w:eastAsia="FangSong_GB2312" w:cs="FangSong_GB2312"/>
          <w:kern w:val="0"/>
          <w:sz w:val="32"/>
          <w:szCs w:val="32"/>
          <w:u w:val="none" w:color="auto"/>
        </w:rPr>
        <w:t>万元，与上年决算相比，减少</w:t>
      </w:r>
      <w:r>
        <w:rPr>
          <w:rFonts w:eastAsia="Times New Roman"/>
          <w:kern w:val="0"/>
          <w:sz w:val="32"/>
          <w:szCs w:val="32"/>
          <w:u w:val="none" w:color="auto"/>
          <w:lang w:eastAsia="en-US"/>
        </w:rPr>
        <w:t>7.30</w:t>
      </w:r>
      <w:r>
        <w:rPr>
          <w:rFonts w:ascii="FangSong_GB2312" w:hAnsi="FangSong_GB2312" w:eastAsia="FangSong_GB2312" w:cs="FangSong_GB2312"/>
          <w:kern w:val="0"/>
          <w:sz w:val="32"/>
          <w:szCs w:val="32"/>
          <w:u w:val="none" w:color="auto"/>
        </w:rPr>
        <w:t>万元，下降</w:t>
      </w:r>
      <w:r>
        <w:rPr>
          <w:rFonts w:eastAsia="Times New Roman"/>
          <w:kern w:val="0"/>
          <w:sz w:val="32"/>
          <w:szCs w:val="32"/>
          <w:u w:val="none" w:color="auto"/>
          <w:lang w:eastAsia="en-US"/>
        </w:rPr>
        <w:t>20.76</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hint="eastAsia" w:ascii="FangSong_GB2312" w:hAnsi="FangSong_GB2312" w:eastAsia="FangSong_GB2312" w:cs="FangSong_GB2312"/>
          <w:kern w:val="0"/>
          <w:sz w:val="32"/>
          <w:szCs w:val="32"/>
          <w:u w:val="none" w:color="auto"/>
          <w:lang w:eastAsia="zh-CN"/>
        </w:rPr>
        <w:t>压减经费和节约成本</w:t>
      </w:r>
      <w:r>
        <w:rPr>
          <w:rFonts w:ascii="FangSong_GB2312" w:hAnsi="FangSong_GB2312" w:eastAsia="FangSong_GB2312" w:cs="FangSong_GB2312"/>
          <w:kern w:val="0"/>
          <w:sz w:val="32"/>
          <w:szCs w:val="32"/>
          <w:u w:val="none" w:color="auto"/>
        </w:rPr>
        <w:t>。其中，机关运行经费支出决算</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万元。比上年决算相比，增加</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万元，增长</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，变动原因：</w:t>
      </w:r>
      <w:r>
        <w:rPr>
          <w:rFonts w:ascii="FangSong_GB2312" w:hAnsi="FangSong_GB2312" w:eastAsia="FangSong_GB2312" w:cs="FangSong_GB2312"/>
          <w:color w:val="auto"/>
          <w:kern w:val="0"/>
          <w:sz w:val="32"/>
          <w:szCs w:val="32"/>
          <w:u w:val="none" w:color="auto"/>
        </w:rPr>
        <w:t>无机关运行经费支出。</w:t>
      </w:r>
    </w:p>
    <w:p w14:paraId="66A32FE6">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十二、政府采购支出决算情况说明</w:t>
      </w:r>
    </w:p>
    <w:p w14:paraId="4DB04023">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年度政府采购支出总额</w:t>
      </w:r>
      <w:r>
        <w:rPr>
          <w:rFonts w:eastAsia="Times New Roman"/>
          <w:kern w:val="0"/>
          <w:sz w:val="32"/>
          <w:szCs w:val="32"/>
          <w:u w:val="none" w:color="auto"/>
          <w:lang w:eastAsia="en-US"/>
        </w:rPr>
        <w:t xml:space="preserve"> 5.45</w:t>
      </w:r>
      <w:r>
        <w:rPr>
          <w:rFonts w:ascii="FangSong_GB2312" w:hAnsi="FangSong_GB2312" w:eastAsia="FangSong_GB2312" w:cs="FangSong_GB2312"/>
          <w:kern w:val="0"/>
          <w:sz w:val="32"/>
          <w:szCs w:val="32"/>
          <w:u w:val="none" w:color="auto"/>
        </w:rPr>
        <w:t>万元，其中：政府采购货物支出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万元、政府采购工程支出</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万元、政府采购服务支出</w:t>
      </w:r>
      <w:r>
        <w:rPr>
          <w:rFonts w:eastAsia="Times New Roman"/>
          <w:kern w:val="0"/>
          <w:sz w:val="32"/>
          <w:szCs w:val="32"/>
          <w:u w:val="none" w:color="auto"/>
          <w:lang w:eastAsia="en-US"/>
        </w:rPr>
        <w:t xml:space="preserve"> 5.45</w:t>
      </w:r>
      <w:r>
        <w:rPr>
          <w:rFonts w:ascii="FangSong_GB2312" w:hAnsi="FangSong_GB2312" w:eastAsia="FangSong_GB2312" w:cs="FangSong_GB2312"/>
          <w:kern w:val="0"/>
          <w:sz w:val="32"/>
          <w:szCs w:val="32"/>
          <w:u w:val="none" w:color="auto"/>
        </w:rPr>
        <w:t>万元。政府采购授予中小企业合同金额</w:t>
      </w:r>
      <w:r>
        <w:rPr>
          <w:rFonts w:eastAsia="Times New Roman"/>
          <w:kern w:val="0"/>
          <w:sz w:val="32"/>
          <w:szCs w:val="32"/>
          <w:u w:val="none" w:color="auto"/>
          <w:lang w:eastAsia="en-US"/>
        </w:rPr>
        <w:t xml:space="preserve"> 2.12</w:t>
      </w:r>
      <w:r>
        <w:rPr>
          <w:rFonts w:ascii="FangSong_GB2312" w:hAnsi="FangSong_GB2312" w:eastAsia="FangSong_GB2312" w:cs="FangSong_GB2312"/>
          <w:kern w:val="0"/>
          <w:sz w:val="32"/>
          <w:szCs w:val="32"/>
          <w:u w:val="none" w:color="auto"/>
        </w:rPr>
        <w:t>万元，占政府采购支出总额的</w:t>
      </w:r>
      <w:r>
        <w:rPr>
          <w:rFonts w:hint="eastAsia" w:eastAsia="宋体"/>
          <w:kern w:val="0"/>
          <w:sz w:val="32"/>
          <w:szCs w:val="32"/>
          <w:u w:val="none" w:color="auto"/>
          <w:lang w:val="en-US" w:eastAsia="zh-CN"/>
        </w:rPr>
        <w:t>38.90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，其中：授予小微企业合同金额</w:t>
      </w:r>
      <w:r>
        <w:rPr>
          <w:rFonts w:eastAsia="Times New Roman"/>
          <w:kern w:val="0"/>
          <w:sz w:val="32"/>
          <w:szCs w:val="32"/>
          <w:u w:val="none" w:color="auto"/>
          <w:lang w:eastAsia="en-US"/>
        </w:rPr>
        <w:t xml:space="preserve"> 2.12</w:t>
      </w:r>
      <w:r>
        <w:rPr>
          <w:rFonts w:ascii="FangSong_GB2312" w:hAnsi="FangSong_GB2312" w:eastAsia="FangSong_GB2312" w:cs="FangSong_GB2312"/>
          <w:kern w:val="0"/>
          <w:sz w:val="32"/>
          <w:szCs w:val="32"/>
          <w:u w:val="none" w:color="auto"/>
        </w:rPr>
        <w:t>万元，占政府采购支出总额的</w:t>
      </w:r>
      <w:r>
        <w:rPr>
          <w:rFonts w:hint="eastAsia" w:eastAsia="宋体"/>
          <w:kern w:val="0"/>
          <w:sz w:val="32"/>
          <w:szCs w:val="32"/>
          <w:u w:val="none" w:color="auto"/>
          <w:lang w:val="en-US" w:eastAsia="zh-CN"/>
        </w:rPr>
        <w:t>38.90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；货物采购授予中小企业合同金额占货物支出金额的</w:t>
      </w:r>
      <w:r>
        <w:rPr>
          <w:rFonts w:hint="eastAsia" w:eastAsia="宋体"/>
          <w:kern w:val="0"/>
          <w:sz w:val="32"/>
          <w:szCs w:val="32"/>
          <w:u w:val="none" w:color="auto"/>
          <w:lang w:val="en-US" w:eastAsia="zh-CN"/>
        </w:rPr>
        <w:t>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，工程采购授予中小企业合同金额占工程支出金额的</w:t>
      </w:r>
      <w:r>
        <w:rPr>
          <w:rFonts w:hint="eastAsia" w:eastAsia="宋体"/>
          <w:kern w:val="0"/>
          <w:sz w:val="32"/>
          <w:szCs w:val="32"/>
          <w:u w:val="none" w:color="auto"/>
          <w:lang w:val="en-US" w:eastAsia="zh-CN"/>
        </w:rPr>
        <w:t>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，服务采购授予中小企业合同金额占服务支出金额的</w:t>
      </w:r>
      <w:r>
        <w:rPr>
          <w:rFonts w:hint="eastAsia" w:eastAsia="宋体"/>
          <w:kern w:val="0"/>
          <w:sz w:val="32"/>
          <w:szCs w:val="32"/>
          <w:u w:val="none" w:color="auto"/>
          <w:lang w:val="en-US" w:eastAsia="zh-CN"/>
        </w:rPr>
        <w:t>38.90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w:t>
      </w:r>
    </w:p>
    <w:p w14:paraId="13EA3CE4">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十三、国有资产占用情况说明</w:t>
      </w:r>
    </w:p>
    <w:p w14:paraId="3608749A">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赤峰市食品药品安全监测中心截至</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w:t>
      </w:r>
      <w:r>
        <w:rPr>
          <w:rFonts w:eastAsia="Times New Roman"/>
          <w:kern w:val="0"/>
          <w:sz w:val="32"/>
          <w:szCs w:val="32"/>
          <w:u w:val="none" w:color="auto"/>
          <w:lang w:eastAsia="en-US"/>
        </w:rPr>
        <w:t>12</w:t>
      </w:r>
      <w:r>
        <w:rPr>
          <w:rFonts w:ascii="FangSong_GB2312" w:hAnsi="FangSong_GB2312" w:eastAsia="FangSong_GB2312" w:cs="FangSong_GB2312"/>
          <w:kern w:val="0"/>
          <w:sz w:val="32"/>
          <w:szCs w:val="32"/>
          <w:u w:val="none" w:color="auto"/>
        </w:rPr>
        <w:t>月</w:t>
      </w:r>
      <w:r>
        <w:rPr>
          <w:rFonts w:eastAsia="Times New Roman"/>
          <w:kern w:val="0"/>
          <w:sz w:val="32"/>
          <w:szCs w:val="32"/>
          <w:u w:val="none" w:color="auto"/>
          <w:lang w:eastAsia="en-US"/>
        </w:rPr>
        <w:t>31</w:t>
      </w:r>
      <w:r>
        <w:rPr>
          <w:rFonts w:ascii="FangSong_GB2312" w:hAnsi="FangSong_GB2312" w:eastAsia="FangSong_GB2312" w:cs="FangSong_GB2312"/>
          <w:kern w:val="0"/>
          <w:sz w:val="32"/>
          <w:szCs w:val="32"/>
          <w:u w:val="none" w:color="auto"/>
        </w:rPr>
        <w:t>日，本部门（单位）共有车辆</w:t>
      </w:r>
      <w:r>
        <w:rPr>
          <w:rFonts w:eastAsia="Times New Roman"/>
          <w:kern w:val="0"/>
          <w:sz w:val="32"/>
          <w:szCs w:val="32"/>
          <w:u w:val="none" w:color="auto"/>
          <w:lang w:eastAsia="en-US"/>
        </w:rPr>
        <w:t xml:space="preserve">3 </w:t>
      </w:r>
      <w:r>
        <w:rPr>
          <w:rFonts w:ascii="FangSong_GB2312" w:hAnsi="FangSong_GB2312" w:eastAsia="FangSong_GB2312" w:cs="FangSong_GB2312"/>
          <w:kern w:val="0"/>
          <w:sz w:val="32"/>
          <w:szCs w:val="32"/>
          <w:u w:val="none" w:color="auto"/>
        </w:rPr>
        <w:t>辆，其中：副部（省）级及以上领导用车</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辆、主要负责人用车</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辆、机要通信用车</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辆、应急保障用车</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辆、执法执勤用车</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辆、特种专业技术用车</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辆、离退休干部服务用车</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辆、其他用车</w:t>
      </w:r>
      <w:r>
        <w:rPr>
          <w:rFonts w:eastAsia="Times New Roman"/>
          <w:kern w:val="0"/>
          <w:sz w:val="32"/>
          <w:szCs w:val="32"/>
          <w:u w:val="none" w:color="auto"/>
          <w:lang w:eastAsia="en-US"/>
        </w:rPr>
        <w:t xml:space="preserve">3 </w:t>
      </w:r>
      <w:r>
        <w:rPr>
          <w:rFonts w:ascii="FangSong_GB2312" w:hAnsi="FangSong_GB2312" w:eastAsia="FangSong_GB2312" w:cs="FangSong_GB2312"/>
          <w:kern w:val="0"/>
          <w:sz w:val="32"/>
          <w:szCs w:val="32"/>
          <w:u w:val="none" w:color="auto"/>
        </w:rPr>
        <w:t>辆，其他用车主要</w:t>
      </w:r>
      <w:r>
        <w:rPr>
          <w:rFonts w:hint="eastAsia" w:ascii="FangSong_GB2312" w:hAnsi="FangSong_GB2312" w:eastAsia="FangSong_GB2312" w:cs="FangSong_GB2312"/>
          <w:kern w:val="0"/>
          <w:sz w:val="32"/>
          <w:szCs w:val="32"/>
          <w:u w:val="none" w:color="auto"/>
          <w:lang w:eastAsia="zh-CN"/>
        </w:rPr>
        <w:t>用于保障我中心年度食品安全监督抽检任务和日常工作正常运行</w:t>
      </w:r>
      <w:r>
        <w:rPr>
          <w:rFonts w:ascii="FangSong_GB2312" w:hAnsi="FangSong_GB2312" w:eastAsia="FangSong_GB2312" w:cs="FangSong_GB2312"/>
          <w:kern w:val="0"/>
          <w:sz w:val="32"/>
          <w:szCs w:val="32"/>
          <w:u w:val="none" w:color="auto"/>
        </w:rPr>
        <w:t>；单价</w:t>
      </w:r>
      <w:r>
        <w:rPr>
          <w:rFonts w:eastAsia="Times New Roman"/>
          <w:kern w:val="0"/>
          <w:sz w:val="32"/>
          <w:szCs w:val="32"/>
          <w:u w:val="none" w:color="auto"/>
          <w:lang w:eastAsia="en-US"/>
        </w:rPr>
        <w:t>100</w:t>
      </w:r>
      <w:r>
        <w:rPr>
          <w:rFonts w:ascii="FangSong_GB2312" w:hAnsi="FangSong_GB2312" w:eastAsia="FangSong_GB2312" w:cs="FangSong_GB2312"/>
          <w:kern w:val="0"/>
          <w:sz w:val="32"/>
          <w:szCs w:val="32"/>
          <w:u w:val="none" w:color="auto"/>
        </w:rPr>
        <w:t>万元（含）以上设备（不含车辆）</w:t>
      </w:r>
      <w:r>
        <w:rPr>
          <w:rFonts w:eastAsia="Times New Roman"/>
          <w:kern w:val="0"/>
          <w:sz w:val="32"/>
          <w:szCs w:val="32"/>
          <w:u w:val="none" w:color="auto"/>
          <w:lang w:eastAsia="en-US"/>
        </w:rPr>
        <w:t xml:space="preserve">0 </w:t>
      </w:r>
      <w:r>
        <w:rPr>
          <w:rFonts w:ascii="FangSong_GB2312" w:hAnsi="FangSong_GB2312" w:eastAsia="FangSong_GB2312" w:cs="FangSong_GB2312"/>
          <w:kern w:val="0"/>
          <w:sz w:val="32"/>
          <w:szCs w:val="32"/>
          <w:u w:val="none" w:color="auto"/>
        </w:rPr>
        <w:t>台（套）。</w:t>
      </w:r>
    </w:p>
    <w:p w14:paraId="08CD9D0C">
      <w:pPr>
        <w:pStyle w:val="28"/>
        <w:widowControl/>
        <w:spacing w:before="240" w:after="240" w:line="600" w:lineRule="atLeast"/>
        <w:ind w:firstLine="643"/>
        <w:jc w:val="left"/>
        <w:rPr>
          <w:rFonts w:ascii="Times New Roman" w:hAnsi="Times New Roman" w:eastAsia="Times New Roman" w:cs="Times New Roman"/>
          <w:kern w:val="0"/>
          <w:sz w:val="24"/>
          <w:u w:val="none" w:color="auto"/>
        </w:rPr>
      </w:pPr>
      <w:r>
        <w:rPr>
          <w:rFonts w:ascii="黑体" w:hAnsi="黑体" w:eastAsia="黑体" w:cs="黑体"/>
          <w:b/>
          <w:bCs/>
          <w:kern w:val="0"/>
          <w:sz w:val="32"/>
          <w:szCs w:val="32"/>
          <w:u w:val="none" w:color="auto"/>
        </w:rPr>
        <w:t>十四、预算绩效情况说明</w:t>
      </w:r>
    </w:p>
    <w:p w14:paraId="4ACA36FB">
      <w:pPr>
        <w:pStyle w:val="28"/>
        <w:widowControl/>
        <w:spacing w:before="240" w:after="240"/>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（一）预算绩效管理工作开展情况。</w:t>
      </w:r>
    </w:p>
    <w:p w14:paraId="4D58EFB9">
      <w:pPr>
        <w:pStyle w:val="28"/>
        <w:widowControl/>
        <w:spacing w:before="240" w:after="240" w:line="560" w:lineRule="atLeast"/>
        <w:ind w:firstLine="640"/>
        <w:jc w:val="left"/>
        <w:rPr>
          <w:rFonts w:hint="eastAsia" w:ascii="FangSong_GB2312" w:hAnsi="FangSong_GB2312" w:eastAsia="FangSong_GB2312" w:cs="FangSong_GB2312"/>
          <w:kern w:val="0"/>
          <w:sz w:val="32"/>
          <w:szCs w:val="32"/>
          <w:u w:val="none" w:color="auto"/>
          <w:lang w:eastAsia="zh-CN"/>
        </w:rPr>
      </w:pPr>
      <w:r>
        <w:rPr>
          <w:rFonts w:ascii="FangSong_GB2312" w:hAnsi="FangSong_GB2312" w:eastAsia="FangSong_GB2312" w:cs="FangSong_GB2312"/>
          <w:kern w:val="0"/>
          <w:sz w:val="32"/>
          <w:szCs w:val="32"/>
          <w:u w:val="none" w:color="auto"/>
        </w:rPr>
        <w:t>赤峰市食品药品安全监测中心根据预算绩效管理要求组织对</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年一般公共预算项目支出全面开展绩效自评，共涉及项目</w:t>
      </w:r>
      <w:r>
        <w:rPr>
          <w:rFonts w:hint="eastAsia" w:eastAsia="宋体"/>
          <w:kern w:val="0"/>
          <w:sz w:val="32"/>
          <w:szCs w:val="32"/>
          <w:u w:val="none" w:color="auto"/>
          <w:lang w:val="en-US" w:eastAsia="zh-CN"/>
        </w:rPr>
        <w:t>1</w:t>
      </w:r>
      <w:r>
        <w:rPr>
          <w:rFonts w:ascii="FangSong_GB2312" w:hAnsi="FangSong_GB2312" w:eastAsia="FangSong_GB2312" w:cs="FangSong_GB2312"/>
          <w:kern w:val="0"/>
          <w:sz w:val="32"/>
          <w:szCs w:val="32"/>
          <w:u w:val="none" w:color="auto"/>
        </w:rPr>
        <w:t>个，资金</w:t>
      </w:r>
      <w:r>
        <w:rPr>
          <w:rFonts w:eastAsia="Times New Roman"/>
          <w:kern w:val="0"/>
          <w:sz w:val="32"/>
          <w:szCs w:val="32"/>
          <w:u w:val="none" w:color="auto"/>
          <w:lang w:eastAsia="en-US"/>
        </w:rPr>
        <w:t xml:space="preserve"> 278.02</w:t>
      </w:r>
      <w:r>
        <w:rPr>
          <w:rFonts w:ascii="FangSong_GB2312" w:hAnsi="FangSong_GB2312" w:eastAsia="FangSong_GB2312" w:cs="FangSong_GB2312"/>
          <w:kern w:val="0"/>
          <w:sz w:val="32"/>
          <w:szCs w:val="32"/>
          <w:u w:val="none" w:color="auto"/>
        </w:rPr>
        <w:t>万元，占一般公共预算项目支出总额的</w:t>
      </w:r>
      <w:r>
        <w:rPr>
          <w:rFonts w:eastAsia="Times New Roman"/>
          <w:kern w:val="0"/>
          <w:sz w:val="32"/>
          <w:szCs w:val="32"/>
          <w:u w:val="none" w:color="auto"/>
          <w:lang w:eastAsia="en-US"/>
        </w:rPr>
        <w:t>100</w:t>
      </w:r>
      <w:r>
        <w:rPr>
          <w:rFonts w:ascii="FangSong_GB2312" w:hAnsi="FangSong_GB2312" w:eastAsia="FangSong_GB2312" w:cs="FangSong_GB2312"/>
          <w:kern w:val="0"/>
          <w:sz w:val="32"/>
          <w:szCs w:val="32"/>
          <w:u w:val="none" w:color="auto"/>
          <w:lang w:eastAsia="en-US"/>
        </w:rPr>
        <w:t>%</w:t>
      </w:r>
      <w:r>
        <w:rPr>
          <w:rFonts w:ascii="FangSong_GB2312" w:hAnsi="FangSong_GB2312" w:eastAsia="FangSong_GB2312" w:cs="FangSong_GB2312"/>
          <w:kern w:val="0"/>
          <w:sz w:val="32"/>
          <w:szCs w:val="32"/>
          <w:u w:val="none" w:color="auto"/>
        </w:rPr>
        <w:t>；政府性基金预算项目</w:t>
      </w:r>
      <w:r>
        <w:rPr>
          <w:rFonts w:hint="eastAsia" w:eastAsia="宋体"/>
          <w:kern w:val="0"/>
          <w:sz w:val="32"/>
          <w:szCs w:val="32"/>
          <w:u w:val="none" w:color="auto"/>
          <w:lang w:val="en-US" w:eastAsia="zh-CN"/>
        </w:rPr>
        <w:t>0</w:t>
      </w:r>
      <w:r>
        <w:rPr>
          <w:rFonts w:ascii="FangSong_GB2312" w:hAnsi="FangSong_GB2312" w:eastAsia="FangSong_GB2312" w:cs="FangSong_GB2312"/>
          <w:kern w:val="0"/>
          <w:sz w:val="32"/>
          <w:szCs w:val="32"/>
          <w:u w:val="none" w:color="auto"/>
        </w:rPr>
        <w:t>个，共涉及资金</w:t>
      </w:r>
      <w:r>
        <w:rPr>
          <w:rFonts w:eastAsia="Times New Roman"/>
          <w:kern w:val="0"/>
          <w:sz w:val="32"/>
          <w:szCs w:val="32"/>
          <w:u w:val="none" w:color="auto"/>
          <w:lang w:eastAsia="en-US"/>
        </w:rPr>
        <w:t xml:space="preserve"> 0</w:t>
      </w:r>
      <w:r>
        <w:rPr>
          <w:rFonts w:ascii="FangSong_GB2312" w:hAnsi="FangSong_GB2312" w:eastAsia="FangSong_GB2312" w:cs="FangSong_GB2312"/>
          <w:kern w:val="0"/>
          <w:sz w:val="32"/>
          <w:szCs w:val="32"/>
          <w:u w:val="none" w:color="auto"/>
        </w:rPr>
        <w:t>万元，占政府性基金预算项目支出总额的</w:t>
      </w:r>
      <w:r>
        <w:rPr>
          <w:rFonts w:hint="eastAsia" w:eastAsia="宋体"/>
          <w:kern w:val="0"/>
          <w:sz w:val="32"/>
          <w:szCs w:val="32"/>
          <w:u w:val="none" w:color="auto"/>
          <w:lang w:val="en-US" w:eastAsia="zh-CN"/>
        </w:rPr>
        <w:t>0</w:t>
      </w:r>
      <w:r>
        <w:rPr>
          <w:rFonts w:ascii="FangSong_GB2312" w:hAnsi="FangSong_GB2312" w:eastAsia="FangSong_GB2312" w:cs="FangSong_GB2312"/>
          <w:kern w:val="0"/>
          <w:sz w:val="32"/>
          <w:szCs w:val="32"/>
          <w:u w:val="none" w:color="auto"/>
          <w:lang w:eastAsia="en-US"/>
        </w:rPr>
        <w:t>%</w:t>
      </w:r>
      <w:r>
        <w:rPr>
          <w:rFonts w:hint="eastAsia" w:ascii="FangSong_GB2312" w:hAnsi="FangSong_GB2312" w:eastAsia="FangSong_GB2312" w:cs="FangSong_GB2312"/>
          <w:kern w:val="0"/>
          <w:sz w:val="32"/>
          <w:szCs w:val="32"/>
          <w:u w:val="none" w:color="auto"/>
          <w:lang w:eastAsia="zh-CN"/>
        </w:rPr>
        <w:t>。</w:t>
      </w:r>
    </w:p>
    <w:p w14:paraId="09B952AE">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组织对“</w:t>
      </w:r>
      <w:r>
        <w:rPr>
          <w:rFonts w:hint="eastAsia" w:ascii="FangSong_GB2312" w:hAnsi="FangSong_GB2312" w:eastAsia="FangSong_GB2312" w:cs="FangSong_GB2312"/>
          <w:kern w:val="0"/>
          <w:sz w:val="32"/>
          <w:szCs w:val="32"/>
          <w:u w:val="none" w:color="auto"/>
          <w:lang w:eastAsia="zh-CN"/>
        </w:rPr>
        <w:t>食品安全监督抽检经费</w:t>
      </w:r>
      <w:r>
        <w:rPr>
          <w:rFonts w:ascii="FangSong_GB2312" w:hAnsi="FangSong_GB2312" w:eastAsia="FangSong_GB2312" w:cs="FangSong_GB2312"/>
          <w:kern w:val="0"/>
          <w:sz w:val="32"/>
          <w:szCs w:val="32"/>
          <w:u w:val="none" w:color="auto"/>
        </w:rPr>
        <w:t>”</w:t>
      </w:r>
      <w:r>
        <w:rPr>
          <w:rFonts w:hint="eastAsia" w:ascii="FangSong_GB2312" w:hAnsi="FangSong_GB2312" w:eastAsia="FangSong_GB2312" w:cs="FangSong_GB2312"/>
          <w:kern w:val="0"/>
          <w:sz w:val="32"/>
          <w:szCs w:val="32"/>
          <w:u w:val="none" w:color="auto"/>
          <w:lang w:eastAsia="zh-CN"/>
        </w:rPr>
        <w:t>的</w:t>
      </w:r>
      <w:r>
        <w:rPr>
          <w:rFonts w:hint="eastAsia" w:ascii="FangSong_GB2312" w:hAnsi="FangSong_GB2312" w:eastAsia="FangSong_GB2312" w:cs="FangSong_GB2312"/>
          <w:kern w:val="0"/>
          <w:sz w:val="32"/>
          <w:szCs w:val="32"/>
          <w:u w:val="none" w:color="auto"/>
          <w:lang w:val="en-US" w:eastAsia="zh-CN"/>
        </w:rPr>
        <w:t>1</w:t>
      </w:r>
      <w:r>
        <w:rPr>
          <w:rFonts w:ascii="FangSong_GB2312" w:hAnsi="FangSong_GB2312" w:eastAsia="FangSong_GB2312" w:cs="FangSong_GB2312"/>
          <w:kern w:val="0"/>
          <w:sz w:val="32"/>
          <w:szCs w:val="32"/>
          <w:u w:val="none" w:color="auto"/>
        </w:rPr>
        <w:t>个项目开展了部门评价，涉及一般公共预算支出</w:t>
      </w:r>
      <w:r>
        <w:rPr>
          <w:rFonts w:hint="eastAsia" w:ascii="FangSong_GB2312" w:hAnsi="FangSong_GB2312" w:eastAsia="FangSong_GB2312" w:cs="FangSong_GB2312"/>
          <w:kern w:val="0"/>
          <w:sz w:val="32"/>
          <w:szCs w:val="32"/>
          <w:u w:val="none" w:color="auto"/>
          <w:lang w:val="en-US" w:eastAsia="zh-CN"/>
        </w:rPr>
        <w:t>278.02</w:t>
      </w:r>
      <w:r>
        <w:rPr>
          <w:rFonts w:ascii="FangSong_GB2312" w:hAnsi="FangSong_GB2312" w:eastAsia="FangSong_GB2312" w:cs="FangSong_GB2312"/>
          <w:kern w:val="0"/>
          <w:sz w:val="32"/>
          <w:szCs w:val="32"/>
          <w:u w:val="none" w:color="auto"/>
        </w:rPr>
        <w:t>万元，政府性基金支出</w:t>
      </w:r>
      <w:r>
        <w:rPr>
          <w:rFonts w:hint="eastAsia" w:ascii="FangSong_GB2312" w:hAnsi="FangSong_GB2312" w:eastAsia="FangSong_GB2312" w:cs="FangSong_GB2312"/>
          <w:kern w:val="0"/>
          <w:sz w:val="32"/>
          <w:szCs w:val="32"/>
          <w:u w:val="none" w:color="auto"/>
          <w:lang w:val="en-US" w:eastAsia="zh-CN"/>
        </w:rPr>
        <w:t>0</w:t>
      </w:r>
      <w:r>
        <w:rPr>
          <w:rFonts w:ascii="FangSong_GB2312" w:hAnsi="FangSong_GB2312" w:eastAsia="FangSong_GB2312" w:cs="FangSong_GB2312"/>
          <w:kern w:val="0"/>
          <w:sz w:val="32"/>
          <w:szCs w:val="32"/>
          <w:u w:val="none" w:color="auto"/>
        </w:rPr>
        <w:t>万元。其中，对“</w:t>
      </w:r>
      <w:r>
        <w:rPr>
          <w:rFonts w:hint="eastAsia" w:ascii="FangSong_GB2312" w:hAnsi="FangSong_GB2312" w:eastAsia="FangSong_GB2312" w:cs="FangSong_GB2312"/>
          <w:kern w:val="0"/>
          <w:sz w:val="32"/>
          <w:szCs w:val="32"/>
          <w:u w:val="none" w:color="auto"/>
          <w:lang w:eastAsia="zh-CN"/>
        </w:rPr>
        <w:t>食品安全监督抽检经费</w:t>
      </w:r>
      <w:r>
        <w:rPr>
          <w:rFonts w:ascii="FangSong_GB2312" w:hAnsi="FangSong_GB2312" w:eastAsia="FangSong_GB2312" w:cs="FangSong_GB2312"/>
          <w:kern w:val="0"/>
          <w:sz w:val="32"/>
          <w:szCs w:val="32"/>
          <w:u w:val="none" w:color="auto"/>
        </w:rPr>
        <w:t>”项目开展绩效评价。从评价情况看，以上项目</w:t>
      </w:r>
      <w:r>
        <w:rPr>
          <w:rFonts w:hint="eastAsia" w:ascii="FangSong_GB2312" w:hAnsi="FangSong_GB2312" w:eastAsia="FangSong_GB2312" w:cs="FangSong_GB2312"/>
          <w:kern w:val="0"/>
          <w:sz w:val="32"/>
          <w:szCs w:val="32"/>
          <w:u w:val="none" w:color="auto"/>
          <w:lang w:eastAsia="zh-CN"/>
        </w:rPr>
        <w:t>经费用于承接食品安全承检任务工作，同时对中标检验机构考核任务及相关差旅情况。更好完成主管局安排的工作内容，规范抽检工作，有效维护食品安全市场环境，为相关部门提供有力的数据支撑</w:t>
      </w:r>
      <w:r>
        <w:rPr>
          <w:rFonts w:ascii="FangSong_GB2312" w:hAnsi="FangSong_GB2312" w:eastAsia="FangSong_GB2312" w:cs="FangSong_GB2312"/>
          <w:kern w:val="0"/>
          <w:sz w:val="32"/>
          <w:szCs w:val="32"/>
          <w:u w:val="none" w:color="auto"/>
        </w:rPr>
        <w:t>。</w:t>
      </w:r>
    </w:p>
    <w:p w14:paraId="4BA0E808">
      <w:pPr>
        <w:pStyle w:val="28"/>
        <w:widowControl/>
        <w:spacing w:before="240" w:after="240"/>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（二）部门（单位）决算中项目绩效自评结果。</w:t>
      </w:r>
    </w:p>
    <w:p w14:paraId="425A7167">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赤峰市食品药品安全监测中心</w:t>
      </w:r>
      <w:r>
        <w:rPr>
          <w:rFonts w:eastAsia="Times New Roman"/>
          <w:kern w:val="0"/>
          <w:sz w:val="32"/>
          <w:szCs w:val="32"/>
          <w:u w:val="none" w:color="auto"/>
          <w:lang w:eastAsia="en-US"/>
        </w:rPr>
        <w:t>2025</w:t>
      </w:r>
      <w:r>
        <w:rPr>
          <w:rFonts w:ascii="FangSong_GB2312" w:hAnsi="FangSong_GB2312" w:eastAsia="FangSong_GB2312" w:cs="FangSong_GB2312"/>
          <w:kern w:val="0"/>
          <w:sz w:val="32"/>
          <w:szCs w:val="32"/>
          <w:u w:val="none" w:color="auto"/>
        </w:rPr>
        <w:t>年度在决算中反映</w:t>
      </w:r>
      <w:r>
        <w:rPr>
          <w:rFonts w:hint="eastAsia" w:eastAsia="宋体"/>
          <w:kern w:val="0"/>
          <w:sz w:val="32"/>
          <w:szCs w:val="32"/>
          <w:u w:val="none" w:color="auto"/>
          <w:lang w:val="en-US" w:eastAsia="zh-CN"/>
        </w:rPr>
        <w:t>1</w:t>
      </w:r>
      <w:r>
        <w:rPr>
          <w:rFonts w:ascii="FangSong_GB2312" w:hAnsi="FangSong_GB2312" w:eastAsia="FangSong_GB2312" w:cs="FangSong_GB2312"/>
          <w:kern w:val="0"/>
          <w:sz w:val="32"/>
          <w:szCs w:val="32"/>
          <w:u w:val="none" w:color="auto"/>
        </w:rPr>
        <w:t>个一般公共预算项目，以及</w:t>
      </w:r>
      <w:r>
        <w:rPr>
          <w:rFonts w:hint="eastAsia" w:eastAsia="宋体"/>
          <w:kern w:val="0"/>
          <w:sz w:val="32"/>
          <w:szCs w:val="32"/>
          <w:u w:val="none" w:color="auto"/>
          <w:lang w:val="en-US" w:eastAsia="zh-CN"/>
        </w:rPr>
        <w:t>0</w:t>
      </w:r>
      <w:r>
        <w:rPr>
          <w:rFonts w:ascii="FangSong_GB2312" w:hAnsi="FangSong_GB2312" w:eastAsia="FangSong_GB2312" w:cs="FangSong_GB2312"/>
          <w:kern w:val="0"/>
          <w:sz w:val="32"/>
          <w:szCs w:val="32"/>
          <w:u w:val="none" w:color="auto"/>
        </w:rPr>
        <w:t>个政府性基金项目，共</w:t>
      </w:r>
      <w:r>
        <w:rPr>
          <w:rFonts w:hint="eastAsia" w:eastAsia="宋体"/>
          <w:kern w:val="0"/>
          <w:sz w:val="32"/>
          <w:szCs w:val="32"/>
          <w:u w:val="none" w:color="auto"/>
          <w:lang w:val="en-US" w:eastAsia="zh-CN"/>
        </w:rPr>
        <w:t>1</w:t>
      </w:r>
      <w:r>
        <w:rPr>
          <w:rFonts w:ascii="FangSong_GB2312" w:hAnsi="FangSong_GB2312" w:eastAsia="FangSong_GB2312" w:cs="FangSong_GB2312"/>
          <w:kern w:val="0"/>
          <w:sz w:val="32"/>
          <w:szCs w:val="32"/>
          <w:u w:val="none" w:color="auto"/>
        </w:rPr>
        <w:t>个项目的绩效自评结果。</w:t>
      </w:r>
    </w:p>
    <w:p w14:paraId="5B2CD913">
      <w:pPr>
        <w:pStyle w:val="28"/>
        <w:widowControl/>
        <w:numPr>
          <w:ilvl w:val="0"/>
          <w:numId w:val="1"/>
        </w:numPr>
        <w:spacing w:before="240" w:after="240" w:line="560" w:lineRule="atLeast"/>
        <w:ind w:firstLine="640"/>
        <w:jc w:val="left"/>
        <w:rPr>
          <w:rFonts w:hint="eastAsia" w:ascii="FangSong_GB2312" w:hAnsi="FangSong_GB2312" w:eastAsia="FangSong_GB2312" w:cs="FangSong_GB2312"/>
          <w:kern w:val="0"/>
          <w:sz w:val="32"/>
          <w:szCs w:val="32"/>
          <w:u w:val="none" w:color="auto"/>
          <w:lang w:eastAsia="zh-CN"/>
        </w:rPr>
      </w:pPr>
      <w:r>
        <w:rPr>
          <w:rFonts w:hint="eastAsia" w:ascii="FangSong_GB2312" w:hAnsi="FangSong_GB2312" w:eastAsia="FangSong_GB2312" w:cs="FangSong_GB2312"/>
          <w:kern w:val="0"/>
          <w:sz w:val="32"/>
          <w:szCs w:val="32"/>
          <w:u w:val="none" w:color="auto"/>
          <w:lang w:eastAsia="zh-CN"/>
        </w:rPr>
        <w:t>食品安全监督抽检经费项目自评综述：根据年初设定的绩效目标，项目自评得分</w:t>
      </w:r>
      <w:r>
        <w:rPr>
          <w:rFonts w:hint="eastAsia" w:ascii="FangSong_GB2312" w:hAnsi="FangSong_GB2312" w:eastAsia="FangSong_GB2312" w:cs="FangSong_GB2312"/>
          <w:kern w:val="0"/>
          <w:sz w:val="32"/>
          <w:szCs w:val="32"/>
          <w:u w:val="none" w:color="auto"/>
          <w:lang w:val="en-US" w:eastAsia="zh-CN"/>
        </w:rPr>
        <w:t>99.20</w:t>
      </w:r>
      <w:r>
        <w:rPr>
          <w:rFonts w:hint="eastAsia" w:ascii="FangSong_GB2312" w:hAnsi="FangSong_GB2312" w:eastAsia="FangSong_GB2312" w:cs="FangSong_GB2312"/>
          <w:kern w:val="0"/>
          <w:sz w:val="32"/>
          <w:szCs w:val="32"/>
          <w:u w:val="none" w:color="auto"/>
          <w:lang w:eastAsia="zh-CN"/>
        </w:rPr>
        <w:t>分。全年预算数为</w:t>
      </w:r>
      <w:r>
        <w:rPr>
          <w:rFonts w:hint="eastAsia" w:ascii="FangSong_GB2312" w:hAnsi="FangSong_GB2312" w:eastAsia="FangSong_GB2312" w:cs="FangSong_GB2312"/>
          <w:kern w:val="0"/>
          <w:sz w:val="32"/>
          <w:szCs w:val="32"/>
          <w:u w:val="none" w:color="auto"/>
          <w:lang w:val="en-US" w:eastAsia="zh-CN"/>
        </w:rPr>
        <w:t>278.02</w:t>
      </w:r>
      <w:r>
        <w:rPr>
          <w:rFonts w:hint="eastAsia" w:ascii="FangSong_GB2312" w:hAnsi="FangSong_GB2312" w:eastAsia="FangSong_GB2312" w:cs="FangSong_GB2312"/>
          <w:kern w:val="0"/>
          <w:sz w:val="32"/>
          <w:szCs w:val="32"/>
          <w:u w:val="none" w:color="auto"/>
          <w:lang w:eastAsia="zh-CN"/>
        </w:rPr>
        <w:t>万元，执行数为</w:t>
      </w:r>
      <w:r>
        <w:rPr>
          <w:rFonts w:hint="eastAsia" w:ascii="FangSong_GB2312" w:hAnsi="FangSong_GB2312" w:eastAsia="FangSong_GB2312" w:cs="FangSong_GB2312"/>
          <w:kern w:val="0"/>
          <w:sz w:val="32"/>
          <w:szCs w:val="32"/>
          <w:u w:val="none" w:color="auto"/>
          <w:lang w:val="en-US" w:eastAsia="zh-CN"/>
        </w:rPr>
        <w:t>278.02</w:t>
      </w:r>
      <w:r>
        <w:rPr>
          <w:rFonts w:hint="eastAsia" w:ascii="FangSong_GB2312" w:hAnsi="FangSong_GB2312" w:eastAsia="FangSong_GB2312" w:cs="FangSong_GB2312"/>
          <w:kern w:val="0"/>
          <w:sz w:val="32"/>
          <w:szCs w:val="32"/>
          <w:u w:val="none" w:color="auto"/>
          <w:lang w:eastAsia="zh-CN"/>
        </w:rPr>
        <w:t>万元，完成预算的</w:t>
      </w:r>
      <w:r>
        <w:rPr>
          <w:rFonts w:hint="eastAsia" w:ascii="FangSong_GB2312" w:hAnsi="FangSong_GB2312" w:eastAsia="FangSong_GB2312" w:cs="FangSong_GB2312"/>
          <w:kern w:val="0"/>
          <w:sz w:val="32"/>
          <w:szCs w:val="32"/>
          <w:u w:val="none" w:color="auto"/>
          <w:lang w:val="en-US" w:eastAsia="zh-CN"/>
        </w:rPr>
        <w:t>100</w:t>
      </w:r>
      <w:r>
        <w:rPr>
          <w:rFonts w:hint="eastAsia" w:ascii="FangSong_GB2312" w:hAnsi="FangSong_GB2312" w:eastAsia="FangSong_GB2312" w:cs="FangSong_GB2312"/>
          <w:kern w:val="0"/>
          <w:sz w:val="32"/>
          <w:szCs w:val="32"/>
          <w:u w:val="none" w:color="auto"/>
          <w:lang w:eastAsia="en-US"/>
        </w:rPr>
        <w:t>%</w:t>
      </w:r>
      <w:r>
        <w:rPr>
          <w:rFonts w:hint="eastAsia" w:ascii="FangSong_GB2312" w:hAnsi="FangSong_GB2312" w:eastAsia="FangSong_GB2312" w:cs="FangSong_GB2312"/>
          <w:kern w:val="0"/>
          <w:sz w:val="32"/>
          <w:szCs w:val="32"/>
          <w:u w:val="none" w:color="auto"/>
          <w:lang w:eastAsia="zh-CN"/>
        </w:rPr>
        <w:t>。项目绩效目标完成情况：承接</w:t>
      </w:r>
      <w:r>
        <w:rPr>
          <w:rFonts w:hint="eastAsia" w:ascii="FangSong_GB2312" w:hAnsi="FangSong_GB2312" w:eastAsia="FangSong_GB2312" w:cs="FangSong_GB2312"/>
          <w:kern w:val="0"/>
          <w:sz w:val="32"/>
          <w:szCs w:val="32"/>
          <w:u w:val="none" w:color="auto"/>
          <w:lang w:val="en-US" w:eastAsia="zh-CN"/>
        </w:rPr>
        <w:t>2025年度</w:t>
      </w:r>
      <w:r>
        <w:rPr>
          <w:rFonts w:hint="eastAsia" w:ascii="FangSong_GB2312" w:hAnsi="FangSong_GB2312" w:eastAsia="FangSong_GB2312" w:cs="FangSong_GB2312"/>
          <w:kern w:val="0"/>
          <w:sz w:val="32"/>
          <w:szCs w:val="32"/>
          <w:u w:val="none" w:color="auto"/>
          <w:lang w:eastAsia="zh-CN"/>
        </w:rPr>
        <w:t>食品安全承检任务工作，同时对中标检验机构考核任务及相关差旅情况。更好完成主管局安排的工作内容，规范抽检工作，有效维护食品安全市场环境，为相关部门提供有力的数据支撑。发现的主要问题及原因：资金下达后，项目招标流程时间长</w:t>
      </w:r>
      <w:r>
        <w:rPr>
          <w:rFonts w:hint="eastAsia" w:ascii="FangSong_GB2312" w:hAnsi="FangSong_GB2312" w:eastAsia="FangSong_GB2312" w:cs="FangSong_GB2312"/>
          <w:color w:val="auto"/>
          <w:kern w:val="0"/>
          <w:sz w:val="32"/>
          <w:szCs w:val="32"/>
          <w:u w:val="none" w:color="auto"/>
          <w:lang w:eastAsia="zh-CN"/>
        </w:rPr>
        <w:t>，导致项目开展时间晚，延迟项目任务完成期限，导致支付项目资金执行力低情况</w:t>
      </w:r>
      <w:r>
        <w:rPr>
          <w:rFonts w:ascii="FangSong_GB2312" w:hAnsi="FangSong_GB2312" w:eastAsia="FangSong_GB2312" w:cs="FangSong_GB2312"/>
          <w:color w:val="auto"/>
          <w:kern w:val="0"/>
          <w:sz w:val="32"/>
          <w:szCs w:val="32"/>
          <w:u w:val="none" w:color="auto"/>
        </w:rPr>
        <w:t>。</w:t>
      </w:r>
      <w:r>
        <w:rPr>
          <w:rFonts w:ascii="FangSong_GB2312" w:hAnsi="FangSong_GB2312" w:eastAsia="FangSong_GB2312" w:cs="FangSong_GB2312"/>
          <w:kern w:val="0"/>
          <w:sz w:val="32"/>
          <w:szCs w:val="32"/>
          <w:u w:val="none" w:color="auto"/>
        </w:rPr>
        <w:t>下一步改进措施：</w:t>
      </w:r>
      <w:r>
        <w:rPr>
          <w:rFonts w:hint="eastAsia" w:ascii="FangSong_GB2312" w:hAnsi="FangSong_GB2312" w:eastAsia="FangSong_GB2312" w:cs="FangSong_GB2312"/>
          <w:kern w:val="0"/>
          <w:sz w:val="32"/>
          <w:szCs w:val="32"/>
          <w:u w:val="none" w:color="auto"/>
          <w:lang w:eastAsia="zh-CN"/>
        </w:rPr>
        <w:t>严格遵守实施招标流程，控制支出成本费用，以最低的支出效益产生最大化的效果，更好的辅助任务同时保障合理支出。</w:t>
      </w:r>
    </w:p>
    <w:p w14:paraId="24981943">
      <w:pPr>
        <w:pStyle w:val="28"/>
        <w:widowControl/>
        <w:spacing w:before="240" w:after="240"/>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（三）部门项目绩效评价结果。</w:t>
      </w:r>
    </w:p>
    <w:p w14:paraId="3D1D9EB1">
      <w:pPr>
        <w:pStyle w:val="28"/>
        <w:widowControl/>
        <w:spacing w:before="240" w:after="240" w:line="560" w:lineRule="atLeast"/>
        <w:ind w:firstLine="640"/>
        <w:jc w:val="left"/>
        <w:rPr>
          <w:rFonts w:ascii="Times New Roman" w:hAnsi="Times New Roman" w:eastAsia="Times New Roman" w:cs="Times New Roman"/>
          <w:color w:val="auto"/>
          <w:kern w:val="0"/>
          <w:sz w:val="24"/>
          <w:u w:val="none" w:color="auto"/>
        </w:rPr>
      </w:pPr>
      <w:r>
        <w:rPr>
          <w:rFonts w:ascii="FangSong_GB2312" w:hAnsi="FangSong_GB2312" w:eastAsia="FangSong_GB2312" w:cs="FangSong_GB2312"/>
          <w:color w:val="auto"/>
          <w:kern w:val="0"/>
          <w:sz w:val="32"/>
          <w:szCs w:val="32"/>
          <w:u w:val="none" w:color="auto"/>
        </w:rPr>
        <w:t>以</w:t>
      </w:r>
      <w:r>
        <w:rPr>
          <w:rFonts w:hint="eastAsia" w:ascii="FangSong_GB2312" w:hAnsi="FangSong_GB2312" w:eastAsia="FangSong_GB2312" w:cs="FangSong_GB2312"/>
          <w:color w:val="auto"/>
          <w:kern w:val="0"/>
          <w:sz w:val="32"/>
          <w:szCs w:val="32"/>
          <w:u w:val="none" w:color="auto"/>
          <w:lang w:eastAsia="zh-CN"/>
        </w:rPr>
        <w:t>食品安全监督抽检</w:t>
      </w:r>
      <w:r>
        <w:rPr>
          <w:rFonts w:ascii="FangSong_GB2312" w:hAnsi="FangSong_GB2312" w:eastAsia="FangSong_GB2312" w:cs="FangSong_GB2312"/>
          <w:color w:val="auto"/>
          <w:kern w:val="0"/>
          <w:sz w:val="32"/>
          <w:szCs w:val="32"/>
          <w:u w:val="none" w:color="auto"/>
        </w:rPr>
        <w:t>项目为例，该项目绩效评价综合得分为</w:t>
      </w:r>
      <w:r>
        <w:rPr>
          <w:rFonts w:hint="eastAsia" w:eastAsia="宋体"/>
          <w:color w:val="auto"/>
          <w:kern w:val="0"/>
          <w:sz w:val="32"/>
          <w:szCs w:val="32"/>
          <w:u w:val="none" w:color="auto"/>
          <w:lang w:val="en-US" w:eastAsia="zh-CN"/>
        </w:rPr>
        <w:t>99.20</w:t>
      </w:r>
      <w:r>
        <w:rPr>
          <w:rFonts w:ascii="FangSong_GB2312" w:hAnsi="FangSong_GB2312" w:eastAsia="FangSong_GB2312" w:cs="FangSong_GB2312"/>
          <w:color w:val="auto"/>
          <w:kern w:val="0"/>
          <w:sz w:val="32"/>
          <w:szCs w:val="32"/>
          <w:u w:val="none" w:color="auto"/>
        </w:rPr>
        <w:t>分，绩效评价结果为“优”。部门项目绩效评价得分情况详见部门（单位）具体绩效评价结果。</w:t>
      </w:r>
    </w:p>
    <w:p w14:paraId="14B80427">
      <w:pPr>
        <w:pStyle w:val="28"/>
        <w:widowControl/>
        <w:spacing w:before="240" w:after="240"/>
        <w:ind w:firstLine="643"/>
        <w:jc w:val="left"/>
        <w:rPr>
          <w:rFonts w:ascii="Times New Roman" w:hAnsi="Times New Roman" w:eastAsia="Times New Roman" w:cs="Times New Roman"/>
          <w:kern w:val="0"/>
          <w:sz w:val="24"/>
          <w:u w:val="none" w:color="auto"/>
        </w:rPr>
      </w:pPr>
      <w:r>
        <w:rPr>
          <w:rFonts w:ascii="楷体" w:hAnsi="楷体" w:eastAsia="楷体" w:cs="楷体"/>
          <w:b/>
          <w:bCs/>
          <w:kern w:val="0"/>
          <w:sz w:val="32"/>
          <w:szCs w:val="32"/>
          <w:u w:val="none" w:color="auto"/>
        </w:rPr>
        <w:t>（四）部门（单位）预算绩效管理制度和核心绩效指标标准体系建设情况。</w:t>
      </w:r>
    </w:p>
    <w:p w14:paraId="08FA911D">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我中心已建立完善《预算绩效管理制度》，制度覆盖绩效目标申报、执行监控、年度自评、结果应用、信息公开全流程管理要求，明确财务科牵头统筹、各业务检测科室分工落实的绩效管理工作机制，清晰划分各岗位绩效管理职责，实现财政资金绩效管理工作有规可依、有据可循。</w:t>
      </w:r>
    </w:p>
    <w:p w14:paraId="5A67B7B5">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每年严格按照财政部门统一部署开展绩效目标设置工作。依托绩效核心指标标准体系逐项编制项目绩效目标；所有绩效目标全部量化、可考核，经科室初审、财务复核、单位班子审议后，随同年度部门预算一并报送财政部门，做到所有申报资金项目均同步编制绩效目标，无指标不申报预算。</w:t>
      </w:r>
    </w:p>
    <w:p w14:paraId="58CDFD14">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hint="eastAsia" w:ascii="仿宋_GB2312" w:hAnsi="仿宋_GB2312" w:eastAsia="仿宋_GB2312" w:cs="仿宋_GB2312"/>
          <w:kern w:val="0"/>
          <w:sz w:val="32"/>
          <w:szCs w:val="32"/>
          <w:lang w:val="en-US" w:eastAsia="zh-CN"/>
        </w:rPr>
        <w:t>预算执行期间按月开展绩效运行监控，对照既定指标跟踪工作完成进度，对滞后事项及时督促整改；年度终了对照完整指标体系全覆盖开展项目绩效自评，如实反映指标完成情况，形成规范绩效自评报告。同时严格落实预决算信息公开相关规定，将部门预算、决算、绩效目标、绩效自评结果按要求公开，主动接受监督，切实提升财政资金使用效益。</w:t>
      </w:r>
    </w:p>
    <w:p w14:paraId="021728D9">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u w:val="none" w:color="auto"/>
        </w:rPr>
      </w:pPr>
      <w:r>
        <w:rPr>
          <w:rFonts w:ascii="方正小标宋简体" w:hAnsi="方正小标宋简体" w:eastAsia="方正小标宋简体" w:cs="方正小标宋简体"/>
          <w:kern w:val="0"/>
          <w:sz w:val="36"/>
          <w:szCs w:val="36"/>
          <w:u w:val="none" w:color="auto"/>
        </w:rPr>
        <w:t>第三部分</w:t>
      </w:r>
      <w:r>
        <w:rPr>
          <w:rFonts w:ascii="Times New Roman" w:hAnsi="Times New Roman" w:eastAsia="Times New Roman" w:cs="Times New Roman"/>
          <w:kern w:val="0"/>
          <w:sz w:val="36"/>
          <w:szCs w:val="36"/>
          <w:u w:val="none" w:color="auto"/>
        </w:rPr>
        <w:t> </w:t>
      </w:r>
      <w:r>
        <w:rPr>
          <w:rFonts w:ascii="方正小标宋简体" w:hAnsi="方正小标宋简体" w:eastAsia="方正小标宋简体" w:cs="方正小标宋简体"/>
          <w:b w:val="0"/>
          <w:bCs w:val="0"/>
          <w:kern w:val="0"/>
          <w:sz w:val="36"/>
          <w:szCs w:val="36"/>
          <w:u w:val="none" w:color="auto"/>
        </w:rPr>
        <w:t xml:space="preserve"> </w:t>
      </w:r>
      <w:r>
        <w:rPr>
          <w:rFonts w:ascii="方正小标宋简体" w:hAnsi="方正小标宋简体" w:eastAsia="方正小标宋简体" w:cs="方正小标宋简体"/>
          <w:kern w:val="0"/>
          <w:sz w:val="36"/>
          <w:szCs w:val="36"/>
          <w:u w:val="none" w:color="auto"/>
        </w:rPr>
        <w:t>名词解释</w:t>
      </w:r>
    </w:p>
    <w:p w14:paraId="661870F8">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一、财政拨款收入：</w:t>
      </w:r>
      <w:r>
        <w:rPr>
          <w:rFonts w:ascii="FangSong_GB2312" w:hAnsi="FangSong_GB2312" w:eastAsia="FangSong_GB2312" w:cs="FangSong_GB2312"/>
          <w:kern w:val="0"/>
          <w:sz w:val="32"/>
          <w:szCs w:val="32"/>
          <w:u w:val="none" w:color="auto"/>
        </w:rPr>
        <w:t>从同级财政部门取得的各类财政拨款，包括一般公共预算财政拨款、政府性基金预算财政拨款、国有资本经营预算财政拨款。</w:t>
      </w:r>
    </w:p>
    <w:p w14:paraId="663C98FE">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二、上级补助收入：</w:t>
      </w:r>
      <w:r>
        <w:rPr>
          <w:rFonts w:ascii="FangSong_GB2312" w:hAnsi="FangSong_GB2312" w:eastAsia="FangSong_GB2312" w:cs="FangSong_GB2312"/>
          <w:kern w:val="0"/>
          <w:sz w:val="32"/>
          <w:szCs w:val="32"/>
          <w:u w:val="none" w:color="auto"/>
        </w:rPr>
        <w:t>指事业单位从主管部门和上级单位取得的非财政补助收入。</w:t>
      </w:r>
    </w:p>
    <w:p w14:paraId="31C7E6C8">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三、事业收入：</w:t>
      </w:r>
      <w:r>
        <w:rPr>
          <w:rFonts w:ascii="FangSong_GB2312" w:hAnsi="FangSong_GB2312" w:eastAsia="FangSong_GB2312" w:cs="FangSong_GB2312"/>
          <w:kern w:val="0"/>
          <w:sz w:val="32"/>
          <w:szCs w:val="32"/>
          <w:u w:val="none" w:color="auto"/>
        </w:rPr>
        <w:t>指事业单位开展专业业务活动及其辅助活动取得的收入。</w:t>
      </w:r>
    </w:p>
    <w:p w14:paraId="5CF2E989">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四、经营收入：</w:t>
      </w:r>
      <w:r>
        <w:rPr>
          <w:rFonts w:ascii="FangSong_GB2312" w:hAnsi="FangSong_GB2312" w:eastAsia="FangSong_GB2312" w:cs="FangSong_GB2312"/>
          <w:kern w:val="0"/>
          <w:sz w:val="32"/>
          <w:szCs w:val="32"/>
          <w:u w:val="none" w:color="auto"/>
        </w:rPr>
        <w:t>指事业单位在专业业务活动及其辅助活动之外开展非独立核算经营活动取得的收入。</w:t>
      </w:r>
    </w:p>
    <w:p w14:paraId="33C124D5">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五、附属单位上缴收入：</w:t>
      </w:r>
      <w:r>
        <w:rPr>
          <w:rFonts w:ascii="FangSong_GB2312" w:hAnsi="FangSong_GB2312" w:eastAsia="FangSong_GB2312" w:cs="FangSong_GB2312"/>
          <w:kern w:val="0"/>
          <w:sz w:val="32"/>
          <w:szCs w:val="32"/>
          <w:u w:val="none" w:color="auto"/>
        </w:rPr>
        <w:t>指事业单位取得附属独立核算单位按照有关规定上缴的收入。</w:t>
      </w:r>
    </w:p>
    <w:p w14:paraId="04BB770C">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六、其他收入：</w:t>
      </w:r>
      <w:r>
        <w:rPr>
          <w:rFonts w:ascii="FangSong_GB2312" w:hAnsi="FangSong_GB2312" w:eastAsia="FangSong_GB2312" w:cs="FangSong_GB2312"/>
          <w:kern w:val="0"/>
          <w:sz w:val="32"/>
          <w:szCs w:val="32"/>
          <w:u w:val="none" w:color="auto"/>
        </w:rPr>
        <w:t>取得的除上述财政拨款收入、上级补助收入、事业收入、经营收入、附属单位上缴收入等以外的各项收入。</w:t>
      </w:r>
    </w:p>
    <w:p w14:paraId="5C0E25CC">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七、使用非财政拨款结余（含专用结余）：</w:t>
      </w:r>
      <w:r>
        <w:rPr>
          <w:rFonts w:ascii="FangSong_GB2312" w:hAnsi="FangSong_GB2312" w:eastAsia="FangSong_GB2312" w:cs="FangSong_GB2312"/>
          <w:kern w:val="0"/>
          <w:sz w:val="32"/>
          <w:szCs w:val="32"/>
          <w:u w:val="none" w:color="auto"/>
        </w:rPr>
        <w:t>指事业单位按照预算管理要求使用非财政拨款结余弥补收支差额的金额，以及使用专用结余安排支出的金额。</w:t>
      </w:r>
    </w:p>
    <w:p w14:paraId="099FD1DA">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八、年初结转和结余：</w:t>
      </w:r>
      <w:r>
        <w:rPr>
          <w:rFonts w:ascii="FangSong_GB2312" w:hAnsi="FangSong_GB2312" w:eastAsia="FangSong_GB2312" w:cs="FangSong_GB2312"/>
          <w:kern w:val="0"/>
          <w:sz w:val="32"/>
          <w:szCs w:val="32"/>
          <w:u w:val="none" w:color="auto"/>
        </w:rPr>
        <w:t>指单位上年结转本年使用的基本支出结转、项目支出结转和结余、经营结余。</w:t>
      </w:r>
    </w:p>
    <w:p w14:paraId="1FF34098">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九、结余分配：</w:t>
      </w:r>
      <w:r>
        <w:rPr>
          <w:rFonts w:ascii="FangSong_GB2312" w:hAnsi="FangSong_GB2312" w:eastAsia="FangSong_GB2312" w:cs="FangSong_GB2312"/>
          <w:kern w:val="0"/>
          <w:sz w:val="32"/>
          <w:szCs w:val="32"/>
          <w:u w:val="none" w:color="auto"/>
        </w:rPr>
        <w:t>指单位按规定缴纳企业所得税以及从非财政拨款结余或经营结余中提取各类结余的情况。</w:t>
      </w:r>
    </w:p>
    <w:p w14:paraId="33EF5E11">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十、年末结转和结余资金：</w:t>
      </w:r>
      <w:r>
        <w:rPr>
          <w:rFonts w:ascii="FangSong_GB2312" w:hAnsi="FangSong_GB2312" w:eastAsia="FangSong_GB2312" w:cs="FangSong_GB2312"/>
          <w:kern w:val="0"/>
          <w:sz w:val="32"/>
          <w:szCs w:val="32"/>
          <w:u w:val="none" w:color="auto"/>
        </w:rPr>
        <w:t>指单位结转下年的基本支出结转、项目支出结转和结余、经营结余。</w:t>
      </w:r>
    </w:p>
    <w:p w14:paraId="34818B60">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十一、基本支出：</w:t>
      </w:r>
      <w:r>
        <w:rPr>
          <w:rFonts w:ascii="FangSong_GB2312" w:hAnsi="FangSong_GB2312" w:eastAsia="FangSong_GB2312" w:cs="FangSong_GB2312"/>
          <w:kern w:val="0"/>
          <w:sz w:val="32"/>
          <w:szCs w:val="32"/>
          <w:u w:val="none" w:color="auto"/>
        </w:rPr>
        <w:t>指为保障机构正常运转、完成日常工作任务所发生的支出，包括人员经费和公用经费。</w:t>
      </w:r>
    </w:p>
    <w:p w14:paraId="51631EC8">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color w:val="000000"/>
          <w:kern w:val="0"/>
          <w:sz w:val="32"/>
          <w:szCs w:val="32"/>
          <w:u w:val="none" w:color="auto"/>
        </w:rPr>
        <w:t>十二、项目支出：</w:t>
      </w:r>
      <w:r>
        <w:rPr>
          <w:rFonts w:ascii="FangSong_GB2312" w:hAnsi="FangSong_GB2312" w:eastAsia="FangSong_GB2312" w:cs="FangSong_GB2312"/>
          <w:color w:val="000000"/>
          <w:kern w:val="0"/>
          <w:sz w:val="32"/>
          <w:szCs w:val="32"/>
          <w:u w:val="none" w:color="auto"/>
        </w:rPr>
        <w:t>指单位为完成特定的行政工作任务或事业发展目标，在基本支出之外发生的各项支出。</w:t>
      </w:r>
    </w:p>
    <w:p w14:paraId="330103AF">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十三、上缴上级支出：</w:t>
      </w:r>
      <w:r>
        <w:rPr>
          <w:rFonts w:ascii="FangSong_GB2312" w:hAnsi="FangSong_GB2312" w:eastAsia="FangSong_GB2312" w:cs="FangSong_GB2312"/>
          <w:kern w:val="0"/>
          <w:sz w:val="32"/>
          <w:szCs w:val="32"/>
          <w:u w:val="none" w:color="auto"/>
        </w:rPr>
        <w:t>指事业单位按照财政部门和主管部门的规定上缴上级单位的支出。</w:t>
      </w:r>
    </w:p>
    <w:p w14:paraId="454EA206">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十四、经营支出：</w:t>
      </w:r>
      <w:r>
        <w:rPr>
          <w:rFonts w:ascii="FangSong_GB2312" w:hAnsi="FangSong_GB2312" w:eastAsia="FangSong_GB2312" w:cs="FangSong_GB2312"/>
          <w:kern w:val="0"/>
          <w:sz w:val="32"/>
          <w:szCs w:val="32"/>
          <w:u w:val="none" w:color="auto"/>
        </w:rPr>
        <w:t>指事业单位在专业业务活动及其辅助活动之外开展非独立核算经营活动发生的支出。</w:t>
      </w:r>
    </w:p>
    <w:p w14:paraId="46977767">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十五、对附属单位补助支出：</w:t>
      </w:r>
      <w:r>
        <w:rPr>
          <w:rFonts w:ascii="FangSong_GB2312" w:hAnsi="FangSong_GB2312" w:eastAsia="FangSong_GB2312" w:cs="FangSong_GB2312"/>
          <w:kern w:val="0"/>
          <w:sz w:val="32"/>
          <w:szCs w:val="32"/>
          <w:u w:val="none" w:color="auto"/>
        </w:rPr>
        <w:t>指事业单位用财政拨款收入之外的收入对附属单位补助发生的支出。</w:t>
      </w:r>
    </w:p>
    <w:p w14:paraId="2F4DE466">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十六、“三公”经费：</w:t>
      </w:r>
      <w:r>
        <w:rPr>
          <w:rFonts w:ascii="FangSong_GB2312" w:hAnsi="FangSong_GB2312" w:eastAsia="FangSong_GB2312" w:cs="FangSong_GB2312"/>
          <w:kern w:val="0"/>
          <w:sz w:val="32"/>
          <w:szCs w:val="32"/>
          <w:u w:val="none" w:color="auto"/>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FangSong_GB2312" w:hAnsi="FangSong_GB2312" w:eastAsia="FangSong_GB2312" w:cs="FangSong_GB2312"/>
          <w:color w:val="000000"/>
          <w:kern w:val="0"/>
          <w:sz w:val="32"/>
          <w:szCs w:val="32"/>
          <w:u w:val="none" w:color="auto"/>
        </w:rPr>
        <w:t>新能源汽车充电费、</w:t>
      </w:r>
      <w:r>
        <w:rPr>
          <w:rFonts w:ascii="FangSong_GB2312" w:hAnsi="FangSong_GB2312" w:eastAsia="FangSong_GB2312" w:cs="FangSong_GB2312"/>
          <w:kern w:val="0"/>
          <w:sz w:val="32"/>
          <w:szCs w:val="32"/>
          <w:u w:val="none" w:color="auto"/>
        </w:rPr>
        <w:t>维修费、过路过桥费、保险费、安全奖励费用等支出；公务接待费反映部门（单位）按规定开支的各类公务接待（含外宾接待）费用。</w:t>
      </w:r>
    </w:p>
    <w:p w14:paraId="529951E4">
      <w:pPr>
        <w:pStyle w:val="28"/>
        <w:widowControl/>
        <w:spacing w:before="240" w:after="240" w:line="560" w:lineRule="atLeast"/>
        <w:ind w:firstLine="643"/>
        <w:jc w:val="left"/>
        <w:rPr>
          <w:rFonts w:ascii="Times New Roman" w:hAnsi="Times New Roman" w:eastAsia="Times New Roman" w:cs="Times New Roman"/>
          <w:kern w:val="0"/>
          <w:sz w:val="24"/>
          <w:u w:val="none" w:color="auto"/>
        </w:rPr>
      </w:pPr>
      <w:r>
        <w:rPr>
          <w:rFonts w:ascii="FangSong_GB2312" w:hAnsi="FangSong_GB2312" w:eastAsia="FangSong_GB2312" w:cs="FangSong_GB2312"/>
          <w:b/>
          <w:bCs/>
          <w:kern w:val="0"/>
          <w:sz w:val="32"/>
          <w:szCs w:val="32"/>
          <w:u w:val="none" w:color="auto"/>
        </w:rPr>
        <w:t>十七、机关运行经费：</w:t>
      </w:r>
      <w:r>
        <w:rPr>
          <w:rFonts w:ascii="FangSong_GB2312" w:hAnsi="FangSong_GB2312" w:eastAsia="FangSong_GB2312" w:cs="FangSong_GB2312"/>
          <w:kern w:val="0"/>
          <w:sz w:val="32"/>
          <w:szCs w:val="32"/>
          <w:u w:val="none" w:color="auto"/>
        </w:rPr>
        <w:t>指行政单位和参照公务员法管理的事业单位财政拨款基本支出中的公用经费支出。</w:t>
      </w:r>
    </w:p>
    <w:p w14:paraId="1E72A693">
      <w:pPr>
        <w:pStyle w:val="3"/>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u w:val="none" w:color="auto"/>
        </w:rPr>
      </w:pPr>
    </w:p>
    <w:p w14:paraId="32639BE2">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u w:val="none" w:color="auto"/>
        </w:rPr>
      </w:pPr>
      <w:r>
        <w:rPr>
          <w:rFonts w:ascii="fang_zheng_xiao_biao_song_ti" w:hAnsi="fang_zheng_xiao_biao_song_ti" w:eastAsia="fang_zheng_xiao_biao_song_ti" w:cs="fang_zheng_xiao_biao_song_ti"/>
          <w:kern w:val="0"/>
          <w:sz w:val="36"/>
          <w:szCs w:val="36"/>
          <w:u w:val="none" w:color="auto"/>
        </w:rPr>
        <w:t>第四部分</w:t>
      </w:r>
      <w:r>
        <w:rPr>
          <w:rFonts w:ascii="Times New Roman" w:hAnsi="Times New Roman" w:eastAsia="Times New Roman" w:cs="Times New Roman"/>
          <w:kern w:val="0"/>
          <w:sz w:val="36"/>
          <w:szCs w:val="36"/>
          <w:u w:val="none" w:color="auto"/>
        </w:rPr>
        <w:t> </w:t>
      </w:r>
      <w:r>
        <w:rPr>
          <w:rFonts w:ascii="fang_zheng_xiao_biao_song_ti" w:hAnsi="fang_zheng_xiao_biao_song_ti" w:eastAsia="fang_zheng_xiao_biao_song_ti" w:cs="fang_zheng_xiao_biao_song_ti"/>
          <w:b w:val="0"/>
          <w:bCs w:val="0"/>
          <w:kern w:val="0"/>
          <w:sz w:val="36"/>
          <w:szCs w:val="36"/>
          <w:u w:val="none" w:color="auto"/>
        </w:rPr>
        <w:t xml:space="preserve"> </w:t>
      </w:r>
      <w:r>
        <w:rPr>
          <w:rFonts w:ascii="fang_zheng_xiao_biao_song_ti" w:hAnsi="fang_zheng_xiao_biao_song_ti" w:eastAsia="fang_zheng_xiao_biao_song_ti" w:cs="fang_zheng_xiao_biao_song_ti"/>
          <w:kern w:val="0"/>
          <w:sz w:val="36"/>
          <w:szCs w:val="36"/>
          <w:u w:val="none" w:color="auto"/>
        </w:rPr>
        <w:t>决算公开联系方式及信息反馈渠道</w:t>
      </w:r>
    </w:p>
    <w:p w14:paraId="513783B3">
      <w:pPr>
        <w:widowControl/>
        <w:spacing w:before="240" w:after="240"/>
        <w:jc w:val="left"/>
        <w:rPr>
          <w:rFonts w:ascii="Times New Roman" w:hAnsi="Times New Roman" w:eastAsia="Times New Roman" w:cs="Times New Roman"/>
          <w:kern w:val="0"/>
          <w:sz w:val="24"/>
          <w:u w:val="none" w:color="auto"/>
        </w:rPr>
      </w:pPr>
    </w:p>
    <w:p w14:paraId="65BC7D11">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本部门（单位）决算公开信息反馈和联系方式：</w:t>
      </w:r>
    </w:p>
    <w:p w14:paraId="1C824DDB">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联系人：</w:t>
      </w:r>
      <w:r>
        <w:rPr>
          <w:rFonts w:ascii="FangSong_GB2312" w:hAnsi="FangSong_GB2312" w:eastAsia="FangSong_GB2312" w:cs="FangSong_GB2312"/>
          <w:kern w:val="0"/>
          <w:sz w:val="32"/>
          <w:szCs w:val="32"/>
          <w:u w:val="none" w:color="auto"/>
          <w:lang w:eastAsia="en-US"/>
        </w:rPr>
        <w:t>张鹏翔</w:t>
      </w:r>
      <w:r>
        <w:rPr>
          <w:rFonts w:ascii="Times New Roman" w:hAnsi="Times New Roman" w:eastAsia="Times New Roman" w:cs="Times New Roman"/>
          <w:kern w:val="0"/>
          <w:sz w:val="32"/>
          <w:szCs w:val="32"/>
          <w:u w:val="none" w:color="auto"/>
          <w:lang w:eastAsia="en-US"/>
        </w:rPr>
        <w:t xml:space="preserve">              </w:t>
      </w:r>
      <w:r>
        <w:rPr>
          <w:rFonts w:ascii="FangSong_GB2312" w:hAnsi="FangSong_GB2312" w:eastAsia="FangSong_GB2312" w:cs="FangSong_GB2312"/>
          <w:kern w:val="0"/>
          <w:sz w:val="32"/>
          <w:szCs w:val="32"/>
          <w:u w:val="none" w:color="auto"/>
        </w:rPr>
        <w:t>联系电话：</w:t>
      </w:r>
      <w:r>
        <w:rPr>
          <w:rFonts w:ascii="FangSong_GB2312" w:hAnsi="FangSong_GB2312" w:eastAsia="FangSong_GB2312" w:cs="FangSong_GB2312"/>
          <w:kern w:val="0"/>
          <w:sz w:val="32"/>
          <w:szCs w:val="32"/>
          <w:u w:val="none" w:color="auto"/>
          <w:lang w:eastAsia="en-US"/>
        </w:rPr>
        <w:t>0476-5972373</w:t>
      </w:r>
    </w:p>
    <w:p w14:paraId="4B96E28E">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u w:val="none" w:color="auto"/>
        </w:rPr>
      </w:pPr>
      <w:r>
        <w:rPr>
          <w:rFonts w:ascii="fang_zheng_xiao_biao_song_ti" w:hAnsi="fang_zheng_xiao_biao_song_ti" w:eastAsia="fang_zheng_xiao_biao_song_ti" w:cs="fang_zheng_xiao_biao_song_ti"/>
          <w:kern w:val="0"/>
          <w:sz w:val="36"/>
          <w:szCs w:val="36"/>
          <w:u w:val="none" w:color="auto"/>
        </w:rPr>
        <w:t>第五部分</w:t>
      </w:r>
      <w:r>
        <w:rPr>
          <w:rFonts w:ascii="Times New Roman" w:hAnsi="Times New Roman" w:eastAsia="Times New Roman" w:cs="Times New Roman"/>
          <w:kern w:val="0"/>
          <w:sz w:val="36"/>
          <w:szCs w:val="36"/>
          <w:u w:val="none" w:color="auto"/>
        </w:rPr>
        <w:t> </w:t>
      </w:r>
      <w:r>
        <w:rPr>
          <w:rFonts w:ascii="方正小标宋简体" w:hAnsi="方正小标宋简体" w:eastAsia="方正小标宋简体" w:cs="方正小标宋简体"/>
          <w:b w:val="0"/>
          <w:bCs w:val="0"/>
          <w:kern w:val="0"/>
          <w:sz w:val="36"/>
          <w:szCs w:val="36"/>
          <w:u w:val="none" w:color="auto"/>
        </w:rPr>
        <w:t xml:space="preserve"> </w:t>
      </w:r>
      <w:r>
        <w:rPr>
          <w:rFonts w:ascii="fang_zheng_xiao_biao_song_ti" w:hAnsi="fang_zheng_xiao_biao_song_ti" w:eastAsia="fang_zheng_xiao_biao_song_ti" w:cs="fang_zheng_xiao_biao_song_ti"/>
          <w:kern w:val="0"/>
          <w:sz w:val="36"/>
          <w:szCs w:val="36"/>
          <w:u w:val="none" w:color="auto"/>
        </w:rPr>
        <w:t>部门（单位）决算表</w:t>
      </w:r>
    </w:p>
    <w:p w14:paraId="46DCAEED">
      <w:pPr>
        <w:pStyle w:val="28"/>
        <w:widowControl/>
        <w:spacing w:before="240" w:after="240"/>
        <w:ind w:left="0" w:right="0"/>
        <w:jc w:val="center"/>
        <w:rPr>
          <w:rFonts w:ascii="Times New Roman" w:hAnsi="Times New Roman" w:eastAsia="Times New Roman" w:cs="Times New Roman"/>
          <w:kern w:val="0"/>
          <w:sz w:val="24"/>
          <w:u w:val="none" w:color="auto"/>
        </w:rPr>
      </w:pPr>
      <w:r>
        <w:rPr>
          <w:rFonts w:ascii="Times New Roman" w:hAnsi="Times New Roman" w:eastAsia="Times New Roman" w:cs="Times New Roman"/>
          <w:kern w:val="0"/>
          <w:sz w:val="24"/>
          <w:u w:val="none" w:color="auto"/>
          <w:lang w:eastAsia="en-US"/>
        </w:rPr>
        <w:t> </w:t>
      </w:r>
    </w:p>
    <w:p w14:paraId="4D9D3CC5">
      <w:pPr>
        <w:pStyle w:val="28"/>
        <w:widowControl/>
        <w:spacing w:before="240" w:after="240" w:line="560" w:lineRule="atLeast"/>
        <w:ind w:firstLine="640"/>
        <w:jc w:val="left"/>
        <w:rPr>
          <w:rFonts w:ascii="Times New Roman" w:hAnsi="Times New Roman" w:eastAsia="Times New Roman" w:cs="Times New Roman"/>
          <w:kern w:val="0"/>
          <w:sz w:val="24"/>
          <w:u w:val="none" w:color="auto"/>
        </w:rPr>
      </w:pPr>
      <w:r>
        <w:rPr>
          <w:rFonts w:ascii="FangSong_GB2312" w:hAnsi="FangSong_GB2312" w:eastAsia="FangSong_GB2312" w:cs="FangSong_GB2312"/>
          <w:kern w:val="0"/>
          <w:sz w:val="32"/>
          <w:szCs w:val="32"/>
          <w:u w:val="none" w:color="auto"/>
        </w:rPr>
        <w:t>见附件。</w:t>
      </w:r>
    </w:p>
    <w:bookmarkEnd w:id="0"/>
    <w:p w14:paraId="24402FF3">
      <w:pPr>
        <w:adjustRightInd w:val="0"/>
        <w:snapToGrid w:val="0"/>
        <w:rPr>
          <w:rFonts w:ascii="宋体" w:hAnsi="宋体"/>
          <w:b/>
          <w:sz w:val="32"/>
          <w:szCs w:val="32"/>
          <w:u w:val="none" w:color="auto"/>
        </w:rPr>
      </w:pPr>
    </w:p>
    <w:p w14:paraId="16B721BE">
      <w:pPr>
        <w:adjustRightInd w:val="0"/>
        <w:snapToGrid w:val="0"/>
        <w:rPr>
          <w:rFonts w:ascii="宋体" w:hAnsi="宋体"/>
          <w:b/>
          <w:sz w:val="32"/>
          <w:szCs w:val="32"/>
          <w:u w:val="none" w:color="auto"/>
        </w:rPr>
      </w:pPr>
    </w:p>
    <w:p w14:paraId="064DC7E7">
      <w:pPr>
        <w:tabs>
          <w:tab w:val="left" w:pos="8415"/>
        </w:tabs>
        <w:rPr>
          <w:u w:val="none" w:color="auto"/>
        </w:rPr>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zheng_xiao_biao_song_ti">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1CC5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9D9A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925D2A"/>
    <w:multiLevelType w:val="singleLevel"/>
    <w:tmpl w:val="87925D2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docVars>
    <w:docVar w:name="commondata" w:val="eyJoZGlkIjoiNTM0NTM1OWJlYTYzZjI1MmQ4ZDM2Njk0ODI3NzVhNzMifQ=="/>
  </w:docVars>
  <w:rsids>
    <w:rsidRoot w:val="00000000"/>
    <w:rsid w:val="027B7AFA"/>
    <w:rsid w:val="09B75DA7"/>
    <w:rsid w:val="1665388A"/>
    <w:rsid w:val="23421534"/>
    <w:rsid w:val="26D24AB1"/>
    <w:rsid w:val="27013898"/>
    <w:rsid w:val="2AE276BC"/>
    <w:rsid w:val="47D12A35"/>
    <w:rsid w:val="4C240E62"/>
    <w:rsid w:val="61E5526D"/>
    <w:rsid w:val="6C1468C2"/>
    <w:rsid w:val="766713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autoRedefine/>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autoRedefine/>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autoRedefine/>
    <w:qFormat/>
    <w:uiPriority w:val="0"/>
    <w:pPr>
      <w:ind w:left="630"/>
      <w:jc w:val="left"/>
    </w:pPr>
    <w:rPr>
      <w:sz w:val="20"/>
      <w:szCs w:val="20"/>
    </w:rPr>
  </w:style>
  <w:style w:type="paragraph" w:styleId="15">
    <w:name w:val="toc 6"/>
    <w:basedOn w:val="1"/>
    <w:next w:val="1"/>
    <w:autoRedefine/>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autoRedefine/>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Char"/>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Char"/>
    <w:basedOn w:val="19"/>
    <w:link w:val="4"/>
    <w:qFormat/>
    <w:uiPriority w:val="0"/>
    <w:rPr>
      <w:b/>
      <w:bCs/>
      <w:kern w:val="2"/>
      <w:sz w:val="32"/>
      <w:szCs w:val="32"/>
    </w:rPr>
  </w:style>
  <w:style w:type="paragraph" w:customStyle="1" w:styleId="28">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Pages>
  <Words>7402</Words>
  <Characters>8055</Characters>
  <Lines>1</Lines>
  <Paragraphs>1</Paragraphs>
  <TotalTime>1</TotalTime>
  <ScaleCrop>false</ScaleCrop>
  <LinksUpToDate>false</LinksUpToDate>
  <CharactersWithSpaces>8251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小鑫</cp:lastModifiedBy>
  <cp:lastPrinted>2021-04-16T00:45:00Z</cp:lastPrinted>
  <dcterms:modified xsi:type="dcterms:W3CDTF">2026-08-14T01:27:52Z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2052-12.1.0.28043</vt:lpwstr>
  </property>
  <property fmtid="{D5CDD505-2E9C-101B-9397-08002B2CF9AE}" pid="4" name="KSOTemplateDocerSaveRecord">
    <vt:lpwstr>eyJoZGlkIjoiZTZkNTFkZTk3MWU0YjAyOTBlMzA4NTZiMzYwZTI1NjgiLCJ1c2VySWQiOiIxMDY2ODY2MjI4In0=</vt:lpwstr>
  </property>
</Properties>
</file>