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C636FE">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9CD6C66">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5BEEA28">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6A0E35C">
      <w:pPr>
        <w:ind w:left="0" w:leftChars="0" w:firstLine="0" w:firstLineChars="0"/>
        <w:jc w:val="center"/>
        <w:outlineLvl w:val="0"/>
        <w:rPr>
          <w:rFonts w:hint="default" w:ascii="Times New Roman Regular" w:hAnsi="Times New Roman Regular" w:eastAsia="仿宋" w:cs="Times New Roman Regular"/>
          <w:b/>
          <w:bCs/>
          <w:i w:val="0"/>
          <w:iCs w:val="0"/>
          <w:color w:val="000000"/>
          <w:kern w:val="0"/>
          <w:sz w:val="52"/>
          <w:szCs w:val="52"/>
          <w:u w:val="none"/>
          <w:lang w:val="en-US" w:eastAsia="zh-CN" w:bidi="ar"/>
        </w:rPr>
      </w:pPr>
      <w:r>
        <w:rPr>
          <w:rFonts w:hint="default" w:ascii="Times New Roman Regular" w:hAnsi="Times New Roman Regular" w:eastAsia="仿宋" w:cs="Times New Roman Regular"/>
          <w:b/>
          <w:bCs/>
          <w:i w:val="0"/>
          <w:iCs w:val="0"/>
          <w:color w:val="000000"/>
          <w:kern w:val="0"/>
          <w:sz w:val="52"/>
          <w:szCs w:val="52"/>
          <w:u w:val="none"/>
          <w:lang w:val="en-US" w:eastAsia="zh-Hans" w:bidi="ar"/>
        </w:rPr>
        <w:t>项目</w:t>
      </w:r>
      <w:r>
        <w:rPr>
          <w:rFonts w:hint="default" w:ascii="Times New Roman Regular" w:hAnsi="Times New Roman Regular" w:eastAsia="仿宋" w:cs="Times New Roman Regular"/>
          <w:b/>
          <w:bCs/>
          <w:i w:val="0"/>
          <w:iCs w:val="0"/>
          <w:color w:val="000000"/>
          <w:kern w:val="0"/>
          <w:sz w:val="52"/>
          <w:szCs w:val="52"/>
          <w:u w:val="none"/>
          <w:lang w:val="en-US" w:eastAsia="zh-CN" w:bidi="ar"/>
        </w:rPr>
        <w:t>支出绩效自评报告</w:t>
      </w:r>
    </w:p>
    <w:p w14:paraId="3693E3ED">
      <w:pPr>
        <w:pStyle w:val="6"/>
        <w:keepNext w:val="0"/>
        <w:keepLines w:val="0"/>
        <w:widowControl/>
        <w:suppressLineNumbers w:val="0"/>
        <w:shd w:val="clear" w:fill="FFFFFF"/>
        <w:ind w:left="0" w:leftChars="0" w:firstLine="0" w:firstLineChars="0"/>
        <w:jc w:val="center"/>
        <w:rPr>
          <w:rFonts w:hint="default" w:ascii="Times New Roman Regular" w:hAnsi="Times New Roman Regular" w:eastAsia="仿宋" w:cs="Times New Roman Regular"/>
          <w:b/>
          <w:bCs/>
          <w:i w:val="0"/>
          <w:iCs w:val="0"/>
          <w:color w:val="000000"/>
          <w:kern w:val="0"/>
          <w:sz w:val="36"/>
          <w:szCs w:val="36"/>
          <w:u w:val="none"/>
          <w:lang w:val="en-US" w:eastAsia="zh-CN" w:bidi="ar"/>
        </w:rPr>
      </w:pPr>
      <w:r>
        <w:rPr>
          <w:rFonts w:hint="default" w:ascii="Times New Roman Regular" w:hAnsi="Times New Roman Regular" w:eastAsia="仿宋" w:cs="Times New Roman Regular"/>
          <w:b/>
          <w:bCs/>
          <w:i w:val="0"/>
          <w:iCs w:val="0"/>
          <w:color w:val="000000"/>
          <w:kern w:val="0"/>
          <w:sz w:val="36"/>
          <w:szCs w:val="36"/>
          <w:u w:val="none"/>
          <w:lang w:val="en-US" w:eastAsia="zh-CN" w:bidi="ar"/>
        </w:rPr>
        <w:t>（</w:t>
      </w:r>
      <w:r>
        <w:rPr>
          <w:rFonts w:hint="eastAsia" w:ascii="仿宋" w:hAnsi="仿宋" w:eastAsia="仿宋" w:cs="仿宋"/>
          <w:b/>
          <w:bCs/>
          <w:sz w:val="44"/>
          <w:szCs w:val="44"/>
        </w:rPr>
        <w:t>2025</w:t>
      </w:r>
      <w:r>
        <w:rPr>
          <w:rFonts w:hint="default" w:ascii="Times New Roman Regular" w:hAnsi="Times New Roman Regular" w:eastAsia="仿宋" w:cs="Times New Roman Regular"/>
          <w:b/>
          <w:bCs/>
          <w:i w:val="0"/>
          <w:iCs w:val="0"/>
          <w:color w:val="000000"/>
          <w:kern w:val="0"/>
          <w:sz w:val="36"/>
          <w:szCs w:val="36"/>
          <w:u w:val="none"/>
          <w:lang w:val="en-US" w:eastAsia="zh-CN" w:bidi="ar"/>
        </w:rPr>
        <w:t>年度）</w:t>
      </w:r>
    </w:p>
    <w:p w14:paraId="60F65CEC">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5591272B">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1BF2269">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0750DD9C">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C829123">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3E8F993">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404B3B7">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1C093D0">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00291008">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3123A70F">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1625903">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0ACE5653">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2C145E28">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68B7CA8E">
      <w:pPr>
        <w:jc w:val="center"/>
        <w:rPr>
          <w:rFonts w:hint="default" w:ascii="Times New Roman Regular" w:hAnsi="Times New Roman Regular" w:eastAsia="宋体" w:cs="Times New Roman Regular"/>
          <w:b/>
          <w:bCs/>
          <w:i w:val="0"/>
          <w:iCs w:val="0"/>
          <w:color w:val="000000"/>
          <w:kern w:val="0"/>
          <w:sz w:val="24"/>
          <w:szCs w:val="24"/>
          <w:u w:val="none"/>
          <w:lang w:val="en-US" w:eastAsia="zh-CN" w:bidi="ar"/>
        </w:rPr>
      </w:pPr>
    </w:p>
    <w:p w14:paraId="7EBB5CA5">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项目名称：</w:t>
      </w:r>
      <w:r>
        <w:rPr>
          <w:rFonts w:hint="eastAsia" w:ascii="仿宋" w:hAnsi="仿宋" w:eastAsia="仿宋" w:cs="仿宋"/>
          <w:b/>
          <w:bCs/>
          <w:kern w:val="2"/>
          <w:sz w:val="32"/>
          <w:szCs w:val="32"/>
          <w:vertAlign w:val="baseline"/>
          <w:lang w:val="en-US" w:eastAsia="zh-CN" w:bidi="ar-SA"/>
        </w:rPr>
        <w:t>食品安全监督抽检经费</w:t>
      </w:r>
    </w:p>
    <w:p w14:paraId="1FD71E4F">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实施单位：</w:t>
      </w:r>
      <w:r>
        <w:rPr>
          <w:rFonts w:hint="eastAsia" w:ascii="Times New Roman Regular" w:hAnsi="Times New Roman Regular" w:eastAsia="仿宋" w:cs="Times New Roman Regular"/>
          <w:b/>
          <w:bCs/>
          <w:kern w:val="2"/>
          <w:sz w:val="32"/>
          <w:szCs w:val="32"/>
          <w:vertAlign w:val="baseline"/>
          <w:lang w:val="en-US" w:eastAsia="zh-CN" w:bidi="ar-SA"/>
        </w:rPr>
        <w:t xml:space="preserve"> 赤峰市食品药品安全监测中心</w:t>
      </w:r>
    </w:p>
    <w:p w14:paraId="72B19E00">
      <w:pPr>
        <w:ind w:firstLine="1606" w:firstLineChars="500"/>
        <w:rPr>
          <w:rFonts w:hint="default" w:ascii="Times New Roman Regular" w:hAnsi="Times New Roman Regular" w:eastAsia="仿宋" w:cs="Times New Roman Regular"/>
          <w:b/>
          <w:bCs/>
          <w:kern w:val="2"/>
          <w:sz w:val="32"/>
          <w:szCs w:val="32"/>
          <w:vertAlign w:val="baseline"/>
          <w:lang w:val="en-US" w:eastAsia="zh-CN" w:bidi="ar-SA"/>
        </w:rPr>
      </w:pPr>
      <w:r>
        <w:rPr>
          <w:rFonts w:hint="default" w:ascii="Times New Roman Regular" w:hAnsi="Times New Roman Regular" w:eastAsia="仿宋" w:cs="Times New Roman Regular"/>
          <w:b/>
          <w:bCs/>
          <w:kern w:val="2"/>
          <w:sz w:val="32"/>
          <w:szCs w:val="32"/>
          <w:vertAlign w:val="baseline"/>
          <w:lang w:val="en-US" w:eastAsia="zh-CN" w:bidi="ar-SA"/>
        </w:rPr>
        <w:t>主管部门：</w:t>
      </w:r>
      <w:r>
        <w:rPr>
          <w:rFonts w:hint="eastAsia" w:ascii="仿宋" w:hAnsi="仿宋" w:eastAsia="仿宋" w:cs="仿宋"/>
          <w:b/>
          <w:bCs/>
          <w:kern w:val="2"/>
          <w:sz w:val="32"/>
          <w:szCs w:val="32"/>
          <w:vertAlign w:val="baseline"/>
          <w:lang w:val="en-US" w:eastAsia="zh-CN" w:bidi="ar-SA"/>
        </w:rPr>
        <w:t>赤峰市市场监督管理局（部门）</w:t>
      </w:r>
    </w:p>
    <w:p w14:paraId="27E26ABB">
      <w:pPr>
        <w:ind w:firstLine="1928" w:firstLineChars="600"/>
        <w:rPr>
          <w:rFonts w:hint="default" w:ascii="Times New Roman Regular" w:hAnsi="Times New Roman Regular" w:eastAsia="仿宋" w:cs="Times New Roman Regular"/>
          <w:b/>
          <w:bCs/>
          <w:kern w:val="2"/>
          <w:sz w:val="32"/>
          <w:szCs w:val="32"/>
          <w:vertAlign w:val="baseline"/>
          <w:lang w:val="en-US" w:eastAsia="zh-CN" w:bidi="ar-SA"/>
        </w:rPr>
      </w:pPr>
      <w:r>
        <w:rPr>
          <w:rFonts w:hint="eastAsia" w:ascii="Times New Roman Regular" w:hAnsi="Times New Roman Regular" w:eastAsia="仿宋" w:cs="Times New Roman Regular"/>
          <w:b/>
          <w:bCs/>
          <w:kern w:val="2"/>
          <w:sz w:val="32"/>
          <w:szCs w:val="32"/>
          <w:vertAlign w:val="baseline"/>
          <w:lang w:val="en-US" w:eastAsia="zh-CN" w:bidi="ar-SA"/>
        </w:rPr>
        <w:t>2026</w:t>
      </w:r>
      <w:r>
        <w:rPr>
          <w:rFonts w:hint="default" w:ascii="Times New Roman Regular" w:hAnsi="Times New Roman Regular" w:eastAsia="仿宋" w:cs="Times New Roman Regular"/>
          <w:b/>
          <w:bCs/>
          <w:kern w:val="2"/>
          <w:sz w:val="32"/>
          <w:szCs w:val="32"/>
          <w:vertAlign w:val="baseline"/>
          <w:lang w:val="en-US" w:eastAsia="zh-CN" w:bidi="ar-SA"/>
        </w:rPr>
        <w:t>年</w:t>
      </w:r>
      <w:r>
        <w:rPr>
          <w:rFonts w:hint="eastAsia" w:ascii="Times New Roman Regular" w:hAnsi="Times New Roman Regular" w:eastAsia="仿宋" w:cs="Times New Roman Regular"/>
          <w:b/>
          <w:bCs/>
          <w:kern w:val="2"/>
          <w:sz w:val="32"/>
          <w:szCs w:val="32"/>
          <w:vertAlign w:val="baseline"/>
          <w:lang w:val="en-US" w:eastAsia="zh-CN" w:bidi="ar-SA"/>
        </w:rPr>
        <w:t>03</w:t>
      </w:r>
      <w:r>
        <w:rPr>
          <w:rFonts w:hint="default" w:ascii="Times New Roman Regular" w:hAnsi="Times New Roman Regular" w:eastAsia="仿宋" w:cs="Times New Roman Regular"/>
          <w:b/>
          <w:bCs/>
          <w:kern w:val="2"/>
          <w:sz w:val="32"/>
          <w:szCs w:val="32"/>
          <w:vertAlign w:val="baseline"/>
          <w:lang w:val="en-US" w:eastAsia="zh-CN" w:bidi="ar-SA"/>
        </w:rPr>
        <w:t>月</w:t>
      </w:r>
      <w:r>
        <w:rPr>
          <w:rFonts w:hint="eastAsia" w:ascii="Times New Roman Regular" w:hAnsi="Times New Roman Regular" w:eastAsia="仿宋" w:cs="Times New Roman Regular"/>
          <w:b/>
          <w:bCs/>
          <w:kern w:val="2"/>
          <w:sz w:val="32"/>
          <w:szCs w:val="32"/>
          <w:vertAlign w:val="baseline"/>
          <w:lang w:val="en-US" w:eastAsia="zh-CN" w:bidi="ar-SA"/>
        </w:rPr>
        <w:t>31</w:t>
      </w:r>
      <w:r>
        <w:rPr>
          <w:rFonts w:hint="default" w:ascii="Times New Roman Regular" w:hAnsi="Times New Roman Regular" w:eastAsia="仿宋" w:cs="Times New Roman Regular"/>
          <w:b/>
          <w:bCs/>
          <w:kern w:val="2"/>
          <w:sz w:val="32"/>
          <w:szCs w:val="32"/>
          <w:vertAlign w:val="baseline"/>
          <w:lang w:val="en-US" w:eastAsia="zh-CN" w:bidi="ar-SA"/>
        </w:rPr>
        <w:t>日</w:t>
      </w:r>
    </w:p>
    <w:p w14:paraId="1A9D123D">
      <w:pPr>
        <w:ind w:firstLine="2249" w:firstLineChars="700"/>
        <w:rPr>
          <w:rFonts w:hint="default" w:ascii="Times New Roman Regular" w:hAnsi="Times New Roman Regular" w:eastAsia="仿宋" w:cs="Times New Roman Regular"/>
          <w:b/>
          <w:bCs/>
          <w:kern w:val="2"/>
          <w:sz w:val="32"/>
          <w:szCs w:val="32"/>
          <w:vertAlign w:val="baseline"/>
          <w:lang w:val="en-US" w:eastAsia="zh-CN" w:bidi="ar-S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hint="default" w:ascii="Times New Roman Regular" w:hAnsi="Times New Roman Regular" w:eastAsia="仿宋" w:cs="Times New Roman Regular"/>
          <w:b/>
          <w:bCs/>
          <w:kern w:val="2"/>
          <w:sz w:val="32"/>
          <w:szCs w:val="32"/>
          <w:vertAlign w:val="baseline"/>
          <w:lang w:val="en-US" w:eastAsia="zh-CN" w:bidi="ar-SA"/>
        </w:rPr>
        <w:t>（盖章）</w:t>
      </w:r>
    </w:p>
    <w:p w14:paraId="1B14DAAD">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r>
        <w:rPr>
          <w:rFonts w:hint="eastAsia" w:ascii="方正小标宋简体" w:hAnsi="方正小标宋简体" w:eastAsia="方正小标宋简体" w:cs="方正小标宋简体"/>
          <w:sz w:val="44"/>
          <w:szCs w:val="44"/>
        </w:rPr>
        <w:t>2025年</w:t>
      </w:r>
      <w:r>
        <w:rPr>
          <w:rFonts w:hint="eastAsia" w:ascii="方正小标宋简体" w:hAnsi="方正小标宋简体" w:eastAsia="方正小标宋简体" w:cs="方正小标宋简体"/>
          <w:sz w:val="44"/>
          <w:szCs w:val="44"/>
          <w:lang w:val="en-US" w:eastAsia="zh-CN"/>
        </w:rPr>
        <w:t>度</w:t>
      </w:r>
      <w:r>
        <w:rPr>
          <w:rFonts w:hint="eastAsia" w:ascii="方正小标宋简体" w:hAnsi="方正小标宋简体" w:eastAsia="方正小标宋简体" w:cs="方正小标宋简体"/>
          <w:sz w:val="44"/>
          <w:szCs w:val="44"/>
        </w:rPr>
        <w:t>食品安全监督抽检经费</w:t>
      </w:r>
      <w:r>
        <w:rPr>
          <w:rFonts w:ascii="方正小标宋简体" w:hAnsi="方正小标宋简体" w:eastAsia="方正小标宋简体" w:cs="方正小标宋简体"/>
          <w:sz w:val="44"/>
        </w:rPr>
        <w:t>项目绩效自评报告</w:t>
      </w:r>
    </w:p>
    <w:p w14:paraId="68E68BAF">
      <w:pPr>
        <w:keepNext w:val="0"/>
        <w:keepLines w:val="0"/>
        <w:pageBreakBefore w:val="0"/>
        <w:widowControl w:val="0"/>
        <w:kinsoku/>
        <w:wordWrap/>
        <w:overflowPunct/>
        <w:topLinePunct w:val="0"/>
        <w:autoSpaceDE/>
        <w:autoSpaceDN/>
        <w:bidi w:val="0"/>
        <w:adjustRightInd/>
        <w:snapToGrid/>
        <w:spacing w:line="620" w:lineRule="exact"/>
        <w:ind w:firstLine="0" w:firstLineChars="0"/>
        <w:jc w:val="center"/>
        <w:textAlignment w:val="auto"/>
        <w:rPr>
          <w:rFonts w:hint="default" w:ascii="Times New Roman Regular" w:hAnsi="Times New Roman Regular" w:eastAsia="方正小标宋简体" w:cs="Times New Roman Regular"/>
          <w:sz w:val="44"/>
          <w:szCs w:val="44"/>
        </w:rPr>
      </w:pPr>
    </w:p>
    <w:p w14:paraId="00FBEA0A">
      <w:pPr>
        <w:pStyle w:val="2"/>
        <w:bidi w:val="0"/>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项目</w:t>
      </w:r>
      <w:r>
        <w:rPr>
          <w:rFonts w:hint="eastAsia" w:ascii="黑体" w:hAnsi="黑体" w:eastAsia="黑体" w:cs="黑体"/>
          <w:sz w:val="32"/>
          <w:szCs w:val="32"/>
          <w:lang w:val="en-US" w:eastAsia="zh-CN"/>
        </w:rPr>
        <w:t>基本</w:t>
      </w:r>
      <w:r>
        <w:rPr>
          <w:rFonts w:hint="eastAsia" w:ascii="黑体" w:hAnsi="黑体" w:eastAsia="黑体" w:cs="黑体"/>
          <w:sz w:val="32"/>
          <w:szCs w:val="32"/>
        </w:rPr>
        <w:t>情况</w:t>
      </w:r>
    </w:p>
    <w:p w14:paraId="7688904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（一）项目基本情况简介。</w:t>
      </w:r>
    </w:p>
    <w:p w14:paraId="51E4A7C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根据《中华人民共和国食品安全法》、《食品安全抽样检验管理办法》、《食品安全监督抽检和风险监测工作规范》和《食品安全抽检实施细则（202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年版）》等有关法律法规规定。总结202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年度食品抽验工作经验，根据主管局下达文件的食品抽验任务。我所做为辖区内的食品抽检机构必须完成好食品抽验任务。为做好202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年赤峰市本级食品抽验工作，充分发挥抽验工作在食品抽检过程中的作用，保证202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年食品抽检任务顺利完成。</w:t>
      </w:r>
    </w:p>
    <w:p w14:paraId="00F23CD1">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二</w:t>
      </w:r>
      <w:r>
        <w:rPr>
          <w:rFonts w:hint="default" w:ascii="Times New Roman Regular" w:hAnsi="Times New Roman Regular" w:eastAsia="仿宋" w:cs="Times New Roman Regular"/>
          <w:kern w:val="2"/>
          <w:sz w:val="32"/>
          <w:szCs w:val="32"/>
        </w:rPr>
        <w:t>）绩效目标设定及</w:t>
      </w:r>
      <w:r>
        <w:rPr>
          <w:rFonts w:hint="default" w:ascii="Times New Roman Regular" w:hAnsi="Times New Roman Regular" w:eastAsia="仿宋" w:cs="Times New Roman Regular"/>
          <w:kern w:val="2"/>
          <w:sz w:val="32"/>
          <w:szCs w:val="32"/>
          <w:lang w:val="en-US" w:eastAsia="zh-CN"/>
        </w:rPr>
        <w:t>指标</w:t>
      </w:r>
      <w:r>
        <w:rPr>
          <w:rFonts w:hint="default" w:ascii="Times New Roman Regular" w:hAnsi="Times New Roman Regular" w:eastAsia="仿宋" w:cs="Times New Roman Regular"/>
          <w:kern w:val="2"/>
          <w:sz w:val="32"/>
          <w:szCs w:val="32"/>
        </w:rPr>
        <w:t>完成情况。</w:t>
      </w:r>
    </w:p>
    <w:p w14:paraId="42B60D8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年度绩效</w:t>
      </w:r>
      <w:r>
        <w:rPr>
          <w:rFonts w:hint="default" w:ascii="Times New Roman Regular" w:hAnsi="Times New Roman Regular" w:eastAsia="仿宋" w:cs="Times New Roman Regular"/>
          <w:kern w:val="2"/>
          <w:sz w:val="32"/>
          <w:szCs w:val="32"/>
          <w:lang w:val="en-US" w:eastAsia="zh-CN"/>
        </w:rPr>
        <w:t>目标：</w:t>
      </w:r>
      <w:r>
        <w:rPr>
          <w:rFonts w:hint="eastAsia" w:ascii="仿宋" w:hAnsi="仿宋" w:eastAsia="仿宋" w:cs="仿宋"/>
          <w:kern w:val="2"/>
          <w:sz w:val="32"/>
          <w:szCs w:val="32"/>
          <w:lang w:val="en-US" w:eastAsia="zh-CN"/>
        </w:rPr>
        <w:t>年初申请预算340万元，用于我单位承接食品安全承检测任务工作，对第三方检测机构考核任务和相关差旅费，保障市场的食品安全，防止食品安全的事故发生。</w:t>
      </w:r>
    </w:p>
    <w:p w14:paraId="46F86B2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eastAsia" w:ascii="Times New Roman Regular" w:hAnsi="Times New Roman Regular" w:eastAsia="仿宋" w:cs="Times New Roman Regular"/>
          <w:kern w:val="2"/>
          <w:sz w:val="32"/>
          <w:szCs w:val="32"/>
          <w:lang w:val="en-US" w:eastAsia="zh-CN"/>
        </w:rPr>
        <w:t>年度</w:t>
      </w:r>
      <w:r>
        <w:rPr>
          <w:rFonts w:hint="default" w:ascii="Times New Roman Regular" w:hAnsi="Times New Roman Regular" w:eastAsia="仿宋" w:cs="Times New Roman Regular"/>
          <w:kern w:val="2"/>
          <w:sz w:val="32"/>
          <w:szCs w:val="32"/>
          <w:lang w:val="en-US" w:eastAsia="zh-CN"/>
        </w:rPr>
        <w:t>绩效目标完成情况：</w:t>
      </w:r>
      <w:r>
        <w:rPr>
          <w:rFonts w:hint="eastAsia" w:ascii="仿宋" w:hAnsi="仿宋" w:eastAsia="仿宋" w:cs="仿宋"/>
          <w:kern w:val="2"/>
          <w:sz w:val="32"/>
          <w:szCs w:val="32"/>
          <w:lang w:val="en-US" w:eastAsia="zh-CN"/>
        </w:rPr>
        <w:t xml:space="preserve"> 1.完成时局安排的工作内容，规范抽检工作，有效维护市场是食品安全环境。</w:t>
      </w:r>
      <w:r>
        <w:rPr>
          <w:rFonts w:hint="eastAsia" w:ascii="仿宋" w:hAnsi="仿宋" w:eastAsia="仿宋" w:cs="仿宋"/>
          <w:kern w:val="2"/>
          <w:sz w:val="32"/>
          <w:szCs w:val="32"/>
          <w:lang w:val="en-US" w:eastAsia="zh-CN"/>
        </w:rPr>
        <w:cr/>
      </w:r>
      <w:r>
        <w:rPr>
          <w:rFonts w:hint="eastAsia" w:ascii="仿宋" w:hAnsi="仿宋" w:eastAsia="仿宋" w:cs="仿宋"/>
          <w:kern w:val="2"/>
          <w:sz w:val="32"/>
          <w:szCs w:val="32"/>
          <w:lang w:val="en-US" w:eastAsia="zh-CN"/>
        </w:rPr>
        <w:t>2.项目相关的办公用品支出更好的辅助项目的全流程进行，控制支出成本费用，以最低的支出效益最大化。</w:t>
      </w:r>
      <w:r>
        <w:rPr>
          <w:rFonts w:hint="eastAsia" w:ascii="仿宋" w:hAnsi="仿宋" w:eastAsia="仿宋" w:cs="仿宋"/>
          <w:kern w:val="2"/>
          <w:sz w:val="32"/>
          <w:szCs w:val="32"/>
          <w:lang w:val="en-US" w:eastAsia="zh-CN"/>
        </w:rPr>
        <w:cr/>
      </w:r>
      <w:r>
        <w:rPr>
          <w:rFonts w:hint="eastAsia" w:ascii="仿宋" w:hAnsi="仿宋" w:eastAsia="仿宋" w:cs="仿宋"/>
          <w:kern w:val="2"/>
          <w:sz w:val="32"/>
          <w:szCs w:val="32"/>
          <w:lang w:val="en-US" w:eastAsia="zh-CN"/>
        </w:rPr>
        <w:t>3.严格按照工作规范完成工作内容，从抽样到检验直至结果报送，认真落实每样环节，确保抽检任务100%完成，为相关部门提供有力的数据支持。</w:t>
      </w:r>
    </w:p>
    <w:p w14:paraId="2B301F9F">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二、绩效自评工作情况</w:t>
      </w:r>
    </w:p>
    <w:p w14:paraId="1EF8A32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一</w:t>
      </w:r>
      <w:r>
        <w:rPr>
          <w:rFonts w:hint="default" w:ascii="Times New Roman Regular" w:hAnsi="Times New Roman Regular" w:eastAsia="仿宋" w:cs="Times New Roman Regular"/>
          <w:kern w:val="2"/>
          <w:sz w:val="32"/>
          <w:szCs w:val="32"/>
        </w:rPr>
        <w:t>）绩效自评目的。</w:t>
      </w:r>
    </w:p>
    <w:p w14:paraId="0553D34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分析资源配置的合理性，目标计划完成与履职情况，总结经验做法，找出资金使用和管理中的薄弱环节，提出改进建议，提高财政资金的使用效率。通过项目绩效评价可以客观公正地揭示项目资金的使用效益和工作职能的实现程度,完善公共财政支付监督体系,强化了单位项目支出的责任和效率，确保了项目有效开展。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年市本级制定抽检任务</w:t>
      </w:r>
      <w:r>
        <w:rPr>
          <w:rFonts w:hint="eastAsia" w:ascii="仿宋" w:hAnsi="仿宋" w:eastAsia="仿宋" w:cs="仿宋"/>
          <w:kern w:val="2"/>
          <w:sz w:val="32"/>
          <w:szCs w:val="32"/>
          <w:lang w:val="en-US" w:eastAsia="zh-CN"/>
        </w:rPr>
        <w:t>2700</w:t>
      </w:r>
      <w:r>
        <w:rPr>
          <w:rFonts w:hint="eastAsia" w:ascii="仿宋" w:hAnsi="仿宋" w:eastAsia="仿宋" w:cs="仿宋"/>
          <w:kern w:val="2"/>
          <w:sz w:val="32"/>
          <w:szCs w:val="32"/>
        </w:rPr>
        <w:t>批次,应支付项目食品安全抽检监督委托业务费未进行支付给中标的第三方食品抽检机构，原因是年底国库未及时批复。</w:t>
      </w:r>
    </w:p>
    <w:p w14:paraId="0196801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lang w:val="en-US" w:eastAsia="zh-CN"/>
        </w:rPr>
      </w:pPr>
      <w:r>
        <w:rPr>
          <w:rFonts w:hint="eastAsia" w:ascii="仿宋" w:hAnsi="仿宋" w:eastAsia="仿宋" w:cs="仿宋"/>
          <w:kern w:val="2"/>
          <w:sz w:val="32"/>
          <w:szCs w:val="32"/>
        </w:rPr>
        <w:t>（</w:t>
      </w:r>
      <w:r>
        <w:rPr>
          <w:rFonts w:hint="eastAsia" w:ascii="仿宋" w:hAnsi="仿宋" w:eastAsia="仿宋" w:cs="仿宋"/>
          <w:kern w:val="2"/>
          <w:sz w:val="32"/>
          <w:szCs w:val="32"/>
          <w:lang w:val="en-US" w:eastAsia="zh-CN"/>
        </w:rPr>
        <w:t>二</w:t>
      </w:r>
      <w:r>
        <w:rPr>
          <w:rFonts w:hint="eastAsia" w:ascii="仿宋" w:hAnsi="仿宋" w:eastAsia="仿宋" w:cs="仿宋"/>
          <w:kern w:val="2"/>
          <w:sz w:val="32"/>
          <w:szCs w:val="32"/>
        </w:rPr>
        <w:t>）项目资金投入情况。</w:t>
      </w:r>
    </w:p>
    <w:p w14:paraId="0DE9393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项目资金</w:t>
      </w:r>
      <w:r>
        <w:rPr>
          <w:rFonts w:hint="default" w:ascii="Times New Roman Regular" w:hAnsi="Times New Roman Regular" w:eastAsia="仿宋" w:cs="Times New Roman Regular"/>
          <w:kern w:val="2"/>
          <w:sz w:val="32"/>
          <w:szCs w:val="32"/>
          <w:lang w:val="en-US" w:eastAsia="zh-CN"/>
        </w:rPr>
        <w:t>年初预算数</w:t>
      </w:r>
      <w:r>
        <w:rPr>
          <w:rFonts w:hint="eastAsia" w:ascii="仿宋" w:hAnsi="仿宋" w:eastAsia="仿宋" w:cs="仿宋"/>
          <w:kern w:val="2"/>
          <w:sz w:val="32"/>
          <w:szCs w:val="32"/>
          <w:lang w:val="en-US" w:eastAsia="zh-CN"/>
        </w:rPr>
        <w:t>340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340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70A6401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年度调整金额-</w:t>
      </w:r>
      <w:r>
        <w:rPr>
          <w:rFonts w:hint="eastAsia" w:ascii="仿宋" w:hAnsi="仿宋" w:eastAsia="仿宋" w:cs="仿宋"/>
          <w:kern w:val="2"/>
          <w:sz w:val="32"/>
          <w:szCs w:val="32"/>
          <w:lang w:val="en-US" w:eastAsia="zh-CN"/>
        </w:rPr>
        <w:t>120</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-120</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07F8F8A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w:t>
      </w:r>
      <w:r>
        <w:rPr>
          <w:rFonts w:hint="eastAsia" w:ascii="Times New Roman Regular" w:hAnsi="Times New Roman Regular" w:eastAsia="仿宋" w:cs="Times New Roman Regular"/>
          <w:kern w:val="2"/>
          <w:sz w:val="32"/>
          <w:szCs w:val="32"/>
          <w:lang w:val="en-US" w:eastAsia="zh-CN"/>
        </w:rPr>
        <w:t>变动后预算数</w:t>
      </w:r>
      <w:r>
        <w:rPr>
          <w:rFonts w:hint="eastAsia" w:ascii="仿宋" w:hAnsi="仿宋" w:eastAsia="仿宋" w:cs="仿宋"/>
          <w:kern w:val="2"/>
          <w:sz w:val="32"/>
          <w:szCs w:val="32"/>
          <w:lang w:val="en-US" w:eastAsia="zh-CN"/>
        </w:rPr>
        <w:t>278.02</w:t>
      </w:r>
      <w:r>
        <w:rPr>
          <w:rFonts w:hint="default" w:ascii="Times New Roman Regular" w:hAnsi="Times New Roman Regular" w:eastAsia="仿宋" w:cs="Times New Roman Regular"/>
          <w:kern w:val="2"/>
          <w:sz w:val="32"/>
          <w:szCs w:val="32"/>
          <w:lang w:val="en-US" w:eastAsia="zh-CN"/>
        </w:rPr>
        <w:t>万元，其中：财政拨款</w:t>
      </w:r>
      <w:r>
        <w:rPr>
          <w:rFonts w:hint="eastAsia" w:ascii="仿宋" w:hAnsi="仿宋" w:eastAsia="仿宋" w:cs="仿宋"/>
          <w:kern w:val="2"/>
          <w:sz w:val="32"/>
          <w:szCs w:val="32"/>
          <w:lang w:val="en-US" w:eastAsia="zh-CN"/>
        </w:rPr>
        <w:t>278.02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1DD2E86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val="en-US" w:eastAsia="zh-CN"/>
        </w:rPr>
      </w:pPr>
      <w:r>
        <w:rPr>
          <w:rFonts w:hint="default" w:ascii="Times New Roman Regular" w:hAnsi="Times New Roman Regular" w:eastAsia="仿宋" w:cs="Times New Roman Regular"/>
          <w:kern w:val="2"/>
          <w:sz w:val="32"/>
          <w:szCs w:val="32"/>
          <w:lang w:val="en-US" w:eastAsia="zh-CN"/>
        </w:rPr>
        <w:t>本</w:t>
      </w:r>
      <w:r>
        <w:rPr>
          <w:rFonts w:hint="eastAsia" w:ascii="Times New Roman Regular" w:hAnsi="Times New Roman Regular" w:eastAsia="仿宋" w:cs="Times New Roman Regular"/>
          <w:kern w:val="2"/>
          <w:sz w:val="32"/>
          <w:szCs w:val="32"/>
          <w:lang w:val="en-US" w:eastAsia="zh-CN"/>
        </w:rPr>
        <w:t>项目</w:t>
      </w:r>
      <w:r>
        <w:rPr>
          <w:rFonts w:hint="default" w:ascii="Times New Roman Regular" w:hAnsi="Times New Roman Regular" w:eastAsia="仿宋" w:cs="Times New Roman Regular"/>
          <w:kern w:val="2"/>
          <w:sz w:val="32"/>
          <w:szCs w:val="32"/>
          <w:lang w:val="en-US" w:eastAsia="zh-CN"/>
        </w:rPr>
        <w:t>资金全年执行数</w:t>
      </w:r>
      <w:r>
        <w:rPr>
          <w:rFonts w:hint="eastAsia" w:ascii="仿宋" w:hAnsi="仿宋" w:eastAsia="仿宋" w:cs="仿宋"/>
          <w:kern w:val="2"/>
          <w:sz w:val="32"/>
          <w:szCs w:val="32"/>
          <w:lang w:val="en-US" w:eastAsia="zh-CN"/>
        </w:rPr>
        <w:t>278.02</w:t>
      </w:r>
      <w:r>
        <w:rPr>
          <w:rFonts w:hint="default" w:ascii="Times New Roman Regular" w:hAnsi="Times New Roman Regular" w:eastAsia="仿宋" w:cs="Times New Roman Regular"/>
          <w:kern w:val="2"/>
          <w:sz w:val="32"/>
          <w:szCs w:val="32"/>
          <w:lang w:val="en-US" w:eastAsia="zh-CN"/>
        </w:rPr>
        <w:t>万元</w:t>
      </w:r>
      <w:r>
        <w:rPr>
          <w:rFonts w:hint="eastAsia" w:ascii="Times New Roman Regular" w:hAnsi="Times New Roman Regular" w:eastAsia="仿宋" w:cs="Times New Roman Regular"/>
          <w:kern w:val="2"/>
          <w:sz w:val="32"/>
          <w:szCs w:val="32"/>
          <w:lang w:val="en-US" w:eastAsia="zh-CN"/>
        </w:rPr>
        <w:t>、执行率为</w:t>
      </w:r>
      <w:r>
        <w:rPr>
          <w:rFonts w:hint="eastAsia" w:ascii="仿宋" w:hAnsi="仿宋" w:eastAsia="仿宋" w:cs="仿宋"/>
          <w:kern w:val="2"/>
          <w:sz w:val="32"/>
          <w:szCs w:val="32"/>
          <w:lang w:val="en-US" w:eastAsia="zh-CN"/>
        </w:rPr>
        <w:t>100</w:t>
      </w:r>
      <w:r>
        <w:rPr>
          <w:rFonts w:ascii="仿宋" w:hAnsi="仿宋" w:eastAsia="仿宋" w:cs="仿宋"/>
          <w:sz w:val="32"/>
        </w:rPr>
        <w:t>%</w:t>
      </w:r>
      <w:r>
        <w:rPr>
          <w:rFonts w:hint="default" w:ascii="Times New Roman Regular" w:hAnsi="Times New Roman Regular" w:eastAsia="仿宋" w:cs="Times New Roman Regular"/>
          <w:kern w:val="2"/>
          <w:sz w:val="32"/>
          <w:szCs w:val="32"/>
          <w:lang w:val="en-US" w:eastAsia="zh-CN"/>
        </w:rPr>
        <w:t>，其中：财政拨款</w:t>
      </w:r>
      <w:r>
        <w:rPr>
          <w:rFonts w:hint="eastAsia" w:ascii="仿宋" w:hAnsi="仿宋" w:eastAsia="仿宋" w:cs="仿宋"/>
          <w:kern w:val="2"/>
          <w:sz w:val="32"/>
          <w:szCs w:val="32"/>
          <w:lang w:val="en-US" w:eastAsia="zh-CN"/>
        </w:rPr>
        <w:t>278.02</w:t>
      </w:r>
      <w:r>
        <w:rPr>
          <w:rFonts w:hint="default" w:ascii="Times New Roman Regular" w:hAnsi="Times New Roman Regular" w:eastAsia="仿宋" w:cs="Times New Roman Regular"/>
          <w:kern w:val="2"/>
          <w:sz w:val="32"/>
          <w:szCs w:val="32"/>
          <w:lang w:val="en-US" w:eastAsia="zh-CN"/>
        </w:rPr>
        <w:t>万元，其他资金</w:t>
      </w:r>
      <w:r>
        <w:rPr>
          <w:rFonts w:hint="eastAsia" w:ascii="仿宋" w:hAnsi="仿宋" w:eastAsia="仿宋" w:cs="仿宋"/>
          <w:kern w:val="2"/>
          <w:sz w:val="32"/>
          <w:szCs w:val="32"/>
          <w:lang w:val="en-US" w:eastAsia="zh-CN"/>
        </w:rPr>
        <w:t>0</w:t>
      </w:r>
      <w:r>
        <w:rPr>
          <w:rFonts w:hint="default" w:ascii="Times New Roman Regular" w:hAnsi="Times New Roman Regular" w:eastAsia="仿宋" w:cs="Times New Roman Regular"/>
          <w:kern w:val="2"/>
          <w:sz w:val="32"/>
          <w:szCs w:val="32"/>
          <w:lang w:val="en-US" w:eastAsia="zh-CN"/>
        </w:rPr>
        <w:t>万元。</w:t>
      </w:r>
    </w:p>
    <w:p w14:paraId="1302E3E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）项目资金产出情况。</w:t>
      </w:r>
    </w:p>
    <w:p w14:paraId="67E2829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通过项目绩效评价可以客观公正地揭示项目资金的使用效益和工作职能的实现程度,完善公共财政支付监督体系,强化了单位项目支出的责任和效率，确保了项目有效开展。202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年项目经费支出共计</w:t>
      </w:r>
      <w:r>
        <w:rPr>
          <w:rFonts w:hint="eastAsia" w:ascii="仿宋" w:hAnsi="仿宋" w:eastAsia="仿宋" w:cs="仿宋"/>
          <w:kern w:val="2"/>
          <w:sz w:val="32"/>
          <w:szCs w:val="32"/>
          <w:lang w:val="en-US" w:eastAsia="zh-CN"/>
        </w:rPr>
        <w:t>278.02</w:t>
      </w:r>
      <w:r>
        <w:rPr>
          <w:rFonts w:hint="eastAsia" w:ascii="仿宋" w:hAnsi="仿宋" w:eastAsia="仿宋" w:cs="仿宋"/>
          <w:kern w:val="2"/>
          <w:sz w:val="32"/>
          <w:szCs w:val="32"/>
        </w:rPr>
        <w:t>万元，202</w:t>
      </w:r>
      <w:r>
        <w:rPr>
          <w:rFonts w:hint="eastAsia" w:ascii="仿宋" w:hAnsi="仿宋" w:eastAsia="仿宋" w:cs="仿宋"/>
          <w:kern w:val="2"/>
          <w:sz w:val="32"/>
          <w:szCs w:val="32"/>
          <w:lang w:val="en-US" w:eastAsia="zh-CN"/>
        </w:rPr>
        <w:t>5</w:t>
      </w:r>
      <w:r>
        <w:rPr>
          <w:rFonts w:hint="eastAsia" w:ascii="仿宋" w:hAnsi="仿宋" w:eastAsia="仿宋" w:cs="仿宋"/>
          <w:kern w:val="2"/>
          <w:sz w:val="32"/>
          <w:szCs w:val="32"/>
        </w:rPr>
        <w:t>年市本级制定食品安全抽检任务</w:t>
      </w:r>
      <w:r>
        <w:rPr>
          <w:rFonts w:hint="eastAsia" w:ascii="仿宋" w:hAnsi="仿宋" w:eastAsia="仿宋" w:cs="仿宋"/>
          <w:kern w:val="2"/>
          <w:sz w:val="32"/>
          <w:szCs w:val="32"/>
          <w:lang w:val="en-US" w:eastAsia="zh-CN"/>
        </w:rPr>
        <w:t>2700</w:t>
      </w:r>
      <w:r>
        <w:rPr>
          <w:rFonts w:hint="eastAsia" w:ascii="仿宋" w:hAnsi="仿宋" w:eastAsia="仿宋" w:cs="仿宋"/>
          <w:kern w:val="2"/>
          <w:sz w:val="32"/>
          <w:szCs w:val="32"/>
        </w:rPr>
        <w:t>批次，所有抽检任务全部按照主管局要求在1</w:t>
      </w:r>
      <w:r>
        <w:rPr>
          <w:rFonts w:hint="eastAsia" w:ascii="仿宋" w:hAnsi="仿宋" w:eastAsia="仿宋" w:cs="仿宋"/>
          <w:kern w:val="2"/>
          <w:sz w:val="32"/>
          <w:szCs w:val="32"/>
          <w:lang w:val="en-US" w:eastAsia="zh-CN"/>
        </w:rPr>
        <w:t>1</w:t>
      </w:r>
      <w:r>
        <w:rPr>
          <w:rFonts w:hint="eastAsia" w:ascii="仿宋" w:hAnsi="仿宋" w:eastAsia="仿宋" w:cs="仿宋"/>
          <w:kern w:val="2"/>
          <w:sz w:val="32"/>
          <w:szCs w:val="32"/>
        </w:rPr>
        <w:t>月30日前完成（除一包跨年端午节前抽检任务）。应支付项目食品安全抽检监督委托业务费未进行支付给中标的第三方食品抽检机构，原因是年底国库未批复。此项工作达到对赤峰市市场的食品环境安全效益有效提高。</w:t>
      </w:r>
    </w:p>
    <w:p w14:paraId="6FBC4D8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w:t>
      </w:r>
      <w:r>
        <w:rPr>
          <w:rFonts w:hint="default" w:ascii="Times New Roman Regular" w:hAnsi="Times New Roman Regular" w:eastAsia="仿宋" w:cs="Times New Roman Regular"/>
          <w:kern w:val="2"/>
          <w:sz w:val="32"/>
          <w:szCs w:val="32"/>
          <w:lang w:val="en-US" w:eastAsia="zh-CN"/>
        </w:rPr>
        <w:t>四</w:t>
      </w:r>
      <w:r>
        <w:rPr>
          <w:rFonts w:hint="default" w:ascii="Times New Roman Regular" w:hAnsi="Times New Roman Regular" w:eastAsia="仿宋" w:cs="Times New Roman Regular"/>
          <w:kern w:val="2"/>
          <w:sz w:val="32"/>
          <w:szCs w:val="32"/>
        </w:rPr>
        <w:t>）项目资金管理情况。</w:t>
      </w:r>
    </w:p>
    <w:p w14:paraId="024BD09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kern w:val="2"/>
          <w:sz w:val="32"/>
          <w:szCs w:val="32"/>
        </w:rPr>
        <w:t>加强财政支出绩效评价管理工作，提高预算资金管理水平，合理配置资源，优化支出结构，规范预算资金分配，提高财政资金的使用效益。年初做好项目实施规划，明确职责权划分，确保项目实施顺利进行，制定项目应急措施。严格按照财务管理制度规定使用项目资金，专款专用，不存在挤占、挪用等违法行为。经费支付工作规范有序，不存在超范围超标准支出、转移资金等违法违规问题。</w:t>
      </w:r>
    </w:p>
    <w:p w14:paraId="3155847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0D73709F">
      <w:pPr>
        <w:pStyle w:val="2"/>
        <w:bidi w:val="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三、项目绩效情况</w:t>
      </w:r>
    </w:p>
    <w:p w14:paraId="4556743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1.产出指标完成情况</w:t>
      </w:r>
    </w:p>
    <w:p w14:paraId="748CB26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（1）数量指标</w:t>
      </w:r>
    </w:p>
    <w:p w14:paraId="57E2D2B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1）承接食品抽检工作招标数(家)，</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6465BA7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2）食品安全监督抽检样品批次(批)，</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2070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2</w:t>
      </w:r>
      <w:r>
        <w:rPr>
          <w:rFonts w:hint="eastAsia" w:ascii="仿宋" w:hAnsi="仿宋" w:eastAsia="仿宋" w:cs="仿宋"/>
          <w:kern w:val="2"/>
          <w:sz w:val="32"/>
          <w:szCs w:val="32"/>
          <w:lang w:val="en-US" w:eastAsia="zh-CN"/>
        </w:rPr>
        <w:t>70</w:t>
      </w:r>
      <w:r>
        <w:rPr>
          <w:rFonts w:hint="eastAsia" w:ascii="仿宋" w:hAnsi="仿宋" w:eastAsia="仿宋" w:cs="仿宋"/>
          <w:kern w:val="2"/>
          <w:sz w:val="32"/>
          <w:szCs w:val="32"/>
        </w:rPr>
        <w:t>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1DA1153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（2）质量指标</w:t>
      </w:r>
    </w:p>
    <w:p w14:paraId="2FFB65CA">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1）食品安全监督抽检覆盖率(%)，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7816A86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2）食品安全监督抽检样品合格率(%)，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95</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7B18FEC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3）对承检机构考核合格率(%)，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51BCF06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（3）时效指标</w:t>
      </w:r>
    </w:p>
    <w:p w14:paraId="3525C24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1）食品安全监督抽检开展时间(月)，</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6</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0B18E99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2）食品安全监督抽检完成及时率(%)，</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100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5</w:t>
      </w:r>
      <w:r>
        <w:rPr>
          <w:rFonts w:hint="default" w:ascii="Times New Roman Regular" w:hAnsi="Times New Roman Regular" w:eastAsia="仿宋" w:cs="Times New Roman Regular"/>
          <w:kern w:val="2"/>
          <w:sz w:val="32"/>
          <w:szCs w:val="32"/>
        </w:rPr>
        <w:t>。</w:t>
      </w:r>
    </w:p>
    <w:p w14:paraId="012C13BB">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（4）成本指标</w:t>
      </w:r>
    </w:p>
    <w:p w14:paraId="4B51543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1）每批食品安全抽样检测检验成本(万元)，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0.18</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0.13</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w:t>
      </w:r>
    </w:p>
    <w:p w14:paraId="79C84EA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2）承检机构考核成本(万元)，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15</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12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4</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3.2</w:t>
      </w:r>
      <w:r>
        <w:rPr>
          <w:rFonts w:hint="default" w:ascii="Times New Roman Regular" w:hAnsi="Times New Roman Regular" w:eastAsia="仿宋" w:cs="Times New Roman Regular"/>
          <w:kern w:val="2"/>
          <w:sz w:val="32"/>
          <w:szCs w:val="32"/>
        </w:rPr>
        <w:t>。</w:t>
      </w:r>
    </w:p>
    <w:p w14:paraId="0DBB4CF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3）执法监查的差旅费标准(元/人/天)，</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420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420</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2</w:t>
      </w:r>
      <w:r>
        <w:rPr>
          <w:rFonts w:hint="default" w:ascii="Times New Roman Regular" w:hAnsi="Times New Roman Regular" w:eastAsia="仿宋" w:cs="Times New Roman Regular"/>
          <w:kern w:val="2"/>
          <w:sz w:val="32"/>
          <w:szCs w:val="32"/>
        </w:rPr>
        <w:t>。</w:t>
      </w:r>
    </w:p>
    <w:p w14:paraId="13F09CB9">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2.效益指标完成情况</w:t>
      </w:r>
    </w:p>
    <w:p w14:paraId="4E28B18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（5）社会效益</w:t>
      </w:r>
    </w:p>
    <w:p w14:paraId="7BB05A45">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1）提高食品抽检的针对性有效性和系统性，</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提高</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有效提高</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24EBAE52">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2）维护市场食品安全环境，</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维护</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持续维护</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321BC933">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（6）可持续影响</w:t>
      </w:r>
    </w:p>
    <w:p w14:paraId="1CD93EF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1）持续影响市场食品安全环境发展，</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长期</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长期影响</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2AB66FEC">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3.满意度指标完成情况</w:t>
      </w:r>
    </w:p>
    <w:p w14:paraId="3594381D">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rPr>
      </w:pPr>
      <w:r>
        <w:rPr>
          <w:rFonts w:ascii="仿宋" w:hAnsi="仿宋" w:eastAsia="仿宋" w:cs="仿宋"/>
          <w:sz w:val="32"/>
        </w:rPr>
        <w:t>（7）服务对象满意度</w:t>
      </w:r>
    </w:p>
    <w:p w14:paraId="13498F4E">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ascii="仿宋" w:hAnsi="仿宋" w:eastAsia="仿宋" w:cs="仿宋"/>
          <w:sz w:val="32"/>
        </w:rPr>
        <w:t>1）被抽检对象满意度(百分比)，</w:t>
      </w:r>
      <w:r>
        <w:rPr>
          <w:rFonts w:hint="default" w:ascii="Times New Roman Regular" w:hAnsi="Times New Roman Regular" w:eastAsia="仿宋" w:cs="Times New Roman Regular"/>
          <w:kern w:val="2"/>
          <w:sz w:val="32"/>
          <w:szCs w:val="32"/>
        </w:rPr>
        <w:t>目标值</w:t>
      </w:r>
      <w:r>
        <w:rPr>
          <w:rFonts w:hint="eastAsia" w:ascii="仿宋" w:hAnsi="仿宋" w:eastAsia="仿宋" w:cs="仿宋"/>
          <w:kern w:val="2"/>
          <w:sz w:val="32"/>
          <w:szCs w:val="32"/>
        </w:rPr>
        <w:t>90</w:t>
      </w:r>
      <w:r>
        <w:rPr>
          <w:rFonts w:hint="default" w:ascii="Times New Roman Regular" w:hAnsi="Times New Roman Regular" w:eastAsia="仿宋" w:cs="Times New Roman Regular"/>
          <w:kern w:val="2"/>
          <w:sz w:val="32"/>
          <w:szCs w:val="32"/>
        </w:rPr>
        <w:t>，完成值</w:t>
      </w:r>
      <w:r>
        <w:rPr>
          <w:rFonts w:hint="eastAsia" w:ascii="仿宋" w:hAnsi="仿宋" w:eastAsia="仿宋" w:cs="仿宋"/>
          <w:kern w:val="2"/>
          <w:sz w:val="32"/>
          <w:szCs w:val="32"/>
        </w:rPr>
        <w:t>92</w:t>
      </w:r>
      <w:r>
        <w:rPr>
          <w:rFonts w:hint="default" w:ascii="Times New Roman Regular" w:hAnsi="Times New Roman Regular" w:eastAsia="仿宋" w:cs="Times New Roman Regular"/>
          <w:kern w:val="2"/>
          <w:sz w:val="32"/>
          <w:szCs w:val="32"/>
        </w:rPr>
        <w:t>，分值</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，得分</w:t>
      </w:r>
      <w:r>
        <w:rPr>
          <w:rFonts w:hint="eastAsia" w:ascii="仿宋" w:hAnsi="仿宋" w:eastAsia="仿宋" w:cs="仿宋"/>
          <w:kern w:val="2"/>
          <w:sz w:val="32"/>
          <w:szCs w:val="32"/>
        </w:rPr>
        <w:t>10</w:t>
      </w:r>
      <w:r>
        <w:rPr>
          <w:rFonts w:hint="default" w:ascii="Times New Roman Regular" w:hAnsi="Times New Roman Regular" w:eastAsia="仿宋" w:cs="Times New Roman Regular"/>
          <w:kern w:val="2"/>
          <w:sz w:val="32"/>
          <w:szCs w:val="32"/>
        </w:rPr>
        <w:t>。</w:t>
      </w:r>
    </w:p>
    <w:p w14:paraId="1FB502AF">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eastAsia" w:ascii="仿宋" w:hAnsi="仿宋" w:eastAsia="仿宋" w:cs="仿宋"/>
          <w:kern w:val="2"/>
          <w:sz w:val="32"/>
          <w:szCs w:val="32"/>
          <w:lang w:val="en-US" w:eastAsia="zh-CN"/>
        </w:rPr>
      </w:pPr>
      <w:r>
        <w:rPr>
          <w:rFonts w:hint="eastAsia" w:ascii="仿宋" w:hAnsi="仿宋" w:eastAsia="仿宋" w:cs="仿宋"/>
          <w:kern w:val="2"/>
          <w:sz w:val="32"/>
          <w:szCs w:val="32"/>
          <w:lang w:val="en-US" w:eastAsia="zh-CN"/>
        </w:rPr>
        <w:t>4. 自评得分情况</w:t>
      </w:r>
    </w:p>
    <w:p w14:paraId="6160E64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lang w:eastAsia="zh-CN"/>
        </w:rPr>
      </w:pPr>
      <w:r>
        <w:rPr>
          <w:rFonts w:hint="default" w:ascii="Times New Roman Regular" w:hAnsi="Times New Roman Regular" w:eastAsia="仿宋" w:cs="Times New Roman Regular"/>
          <w:kern w:val="2"/>
          <w:sz w:val="32"/>
          <w:szCs w:val="32"/>
        </w:rPr>
        <w:t>本项目绩效自评得分</w:t>
      </w:r>
      <w:r>
        <w:rPr>
          <w:rFonts w:hint="eastAsia" w:ascii="仿宋" w:hAnsi="仿宋" w:eastAsia="仿宋" w:cs="仿宋"/>
          <w:kern w:val="2"/>
          <w:sz w:val="32"/>
          <w:szCs w:val="32"/>
        </w:rPr>
        <w:t>99.2</w:t>
      </w:r>
      <w:r>
        <w:rPr>
          <w:rFonts w:hint="default" w:ascii="Times New Roman Regular" w:hAnsi="Times New Roman Regular" w:eastAsia="仿宋" w:cs="Times New Roman Regular"/>
          <w:kern w:val="2"/>
          <w:sz w:val="32"/>
          <w:szCs w:val="32"/>
        </w:rPr>
        <w:t>分，等级为</w:t>
      </w:r>
      <w:r>
        <w:rPr>
          <w:rFonts w:hint="eastAsia" w:ascii="仿宋" w:hAnsi="仿宋" w:eastAsia="仿宋" w:cs="仿宋"/>
          <w:kern w:val="2"/>
          <w:sz w:val="32"/>
          <w:szCs w:val="32"/>
        </w:rPr>
        <w:t>优</w:t>
      </w:r>
      <w:r>
        <w:rPr>
          <w:rFonts w:hint="default" w:ascii="Times New Roman Regular" w:hAnsi="Times New Roman Regular" w:eastAsia="仿宋" w:cs="Times New Roman Regular"/>
          <w:kern w:val="2"/>
          <w:sz w:val="32"/>
          <w:szCs w:val="32"/>
          <w:lang w:eastAsia="zh-CN"/>
        </w:rPr>
        <w:t>。</w:t>
      </w:r>
    </w:p>
    <w:p w14:paraId="66B28FC1">
      <w:pPr>
        <w:pStyle w:val="2"/>
        <w:numPr>
          <w:ilvl w:val="0"/>
          <w:numId w:val="1"/>
        </w:numPr>
        <w:bidi w:val="0"/>
        <w:rPr>
          <w:rFonts w:hint="default"/>
          <w:sz w:val="32"/>
          <w:szCs w:val="32"/>
          <w:lang w:val="en-US" w:eastAsia="zh-CN"/>
        </w:rPr>
      </w:pPr>
      <w:r>
        <w:rPr>
          <w:rFonts w:hint="eastAsia"/>
          <w:sz w:val="32"/>
          <w:szCs w:val="32"/>
          <w:lang w:val="en-US" w:eastAsia="zh-CN"/>
        </w:rPr>
        <w:t>偏离绩效目标的原因和下一步改进措施</w:t>
      </w:r>
    </w:p>
    <w:p w14:paraId="543CD0B0">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（一）</w:t>
      </w:r>
      <w:r>
        <w:rPr>
          <w:rFonts w:hint="default" w:ascii="Times New Roman Regular" w:hAnsi="Times New Roman Regular" w:eastAsia="仿宋" w:cs="Times New Roman Regular"/>
          <w:kern w:val="2"/>
          <w:sz w:val="32"/>
          <w:szCs w:val="32"/>
          <w:lang w:val="en-US" w:eastAsia="zh-CN"/>
        </w:rPr>
        <w:t>项目立项、实施存在问题。</w:t>
      </w:r>
      <w:bookmarkStart w:id="0" w:name="_GoBack"/>
      <w:bookmarkEnd w:id="0"/>
    </w:p>
    <w:p w14:paraId="406177B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default" w:ascii="Times New Roman Regular" w:hAnsi="Times New Roman Regular" w:eastAsia="仿宋" w:cs="Times New Roman Regular"/>
          <w:kern w:val="2"/>
          <w:sz w:val="32"/>
          <w:szCs w:val="32"/>
        </w:rPr>
      </w:pPr>
      <w:r>
        <w:rPr>
          <w:rFonts w:hint="default" w:ascii="Times New Roman Regular" w:hAnsi="Times New Roman Regular" w:eastAsia="仿宋" w:cs="Times New Roman Regular"/>
          <w:kern w:val="2"/>
          <w:sz w:val="32"/>
          <w:szCs w:val="32"/>
        </w:rPr>
        <w:t>（二）</w:t>
      </w:r>
      <w:r>
        <w:rPr>
          <w:rFonts w:hint="default" w:ascii="Times New Roman Regular" w:hAnsi="Times New Roman Regular" w:eastAsia="仿宋" w:cs="Times New Roman Regular"/>
          <w:kern w:val="2"/>
          <w:sz w:val="32"/>
          <w:szCs w:val="32"/>
          <w:lang w:val="en-US" w:eastAsia="zh-CN"/>
        </w:rPr>
        <w:t>资金管理使用存在问题</w:t>
      </w:r>
    </w:p>
    <w:p w14:paraId="67C43837">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1"/>
        <w:rPr>
          <w:rFonts w:hint="eastAsia" w:ascii="仿宋" w:hAnsi="仿宋" w:eastAsia="仿宋" w:cs="仿宋"/>
          <w:kern w:val="2"/>
          <w:sz w:val="32"/>
          <w:szCs w:val="32"/>
        </w:rPr>
      </w:pPr>
      <w:r>
        <w:rPr>
          <w:rFonts w:hint="default" w:ascii="Times New Roman Regular" w:hAnsi="Times New Roman Regular" w:eastAsia="仿宋" w:cs="Times New Roman Regular"/>
          <w:kern w:val="2"/>
          <w:sz w:val="32"/>
          <w:szCs w:val="32"/>
        </w:rPr>
        <w:t>（</w:t>
      </w:r>
      <w:r>
        <w:rPr>
          <w:rFonts w:hint="eastAsia" w:ascii="Times New Roman Regular" w:hAnsi="Times New Roman Regular" w:eastAsia="仿宋" w:cs="Times New Roman Regular"/>
          <w:kern w:val="2"/>
          <w:sz w:val="32"/>
          <w:szCs w:val="32"/>
          <w:lang w:val="en-US" w:eastAsia="zh-CN"/>
        </w:rPr>
        <w:t>三</w:t>
      </w:r>
      <w:r>
        <w:rPr>
          <w:rFonts w:hint="default" w:ascii="Times New Roman Regular" w:hAnsi="Times New Roman Regular" w:eastAsia="仿宋" w:cs="Times New Roman Regular"/>
          <w:kern w:val="2"/>
          <w:sz w:val="32"/>
          <w:szCs w:val="32"/>
        </w:rPr>
        <w:t>）措施及办法</w:t>
      </w:r>
    </w:p>
    <w:p w14:paraId="25013BE8">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p>
    <w:p w14:paraId="7EA5D835">
      <w:pPr>
        <w:pStyle w:val="2"/>
        <w:numPr>
          <w:ilvl w:val="0"/>
          <w:numId w:val="1"/>
        </w:numPr>
        <w:bidi w:val="0"/>
        <w:ind w:left="0" w:leftChars="0" w:firstLine="643" w:firstLineChars="200"/>
        <w:rPr>
          <w:rFonts w:hint="eastAsia"/>
          <w:sz w:val="32"/>
          <w:szCs w:val="32"/>
          <w:lang w:val="en-US" w:eastAsia="zh-CN"/>
        </w:rPr>
      </w:pPr>
      <w:r>
        <w:rPr>
          <w:rFonts w:hint="eastAsia"/>
          <w:sz w:val="32"/>
          <w:szCs w:val="32"/>
          <w:lang w:val="en-US" w:eastAsia="zh-CN"/>
        </w:rPr>
        <w:t>绩效自评结果拟应用和公开情况</w:t>
      </w:r>
    </w:p>
    <w:p w14:paraId="4B1C201A">
      <w:pPr>
        <w:keepNext w:val="0"/>
        <w:keepLines w:val="0"/>
        <w:pageBreakBefore w:val="0"/>
        <w:widowControl w:val="0"/>
        <w:kinsoku/>
        <w:wordWrap/>
        <w:overflowPunct/>
        <w:topLinePunct/>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完成时局安排的工作内容，规范抽检工作，有效维护市场是食品安全环境。项目相关的办公用品支出更好的辅助项目的全流程进行，控制支出成本费用，以最低的支出效益最大化。严格按照工作规范完成工作内容，从抽样到检验直至结果报送，认真落实每样环节，确保抽检任务100%完成，为相关部门提供有力的数据支持。</w:t>
      </w:r>
    </w:p>
    <w:p w14:paraId="68CAF9CC">
      <w:pPr>
        <w:pStyle w:val="2"/>
        <w:bidi w:val="0"/>
        <w:rPr>
          <w:rFonts w:hint="default"/>
          <w:lang w:val="en-US" w:eastAsia="zh-CN"/>
        </w:rPr>
      </w:pPr>
      <w:r>
        <w:rPr>
          <w:rFonts w:hint="eastAsia"/>
          <w:sz w:val="32"/>
          <w:szCs w:val="32"/>
          <w:lang w:val="en-US" w:eastAsia="zh-CN"/>
        </w:rPr>
        <w:t>六、其他需要说明的问题</w:t>
      </w:r>
    </w:p>
    <w:p w14:paraId="0A087C44">
      <w:pPr>
        <w:keepNext w:val="0"/>
        <w:keepLines w:val="0"/>
        <w:pageBreakBefore w:val="0"/>
        <w:widowControl w:val="0"/>
        <w:kinsoku/>
        <w:wordWrap/>
        <w:overflowPunct/>
        <w:topLinePunct/>
        <w:autoSpaceDE/>
        <w:autoSpaceDN/>
        <w:bidi w:val="0"/>
        <w:adjustRightInd/>
        <w:snapToGrid/>
        <w:spacing w:line="520" w:lineRule="exact"/>
        <w:ind w:left="0" w:leftChars="0" w:right="0" w:rightChars="0" w:firstLine="640" w:firstLineChars="200"/>
        <w:jc w:val="both"/>
        <w:textAlignment w:val="auto"/>
        <w:outlineLvl w:val="9"/>
        <w:rPr>
          <w:rFonts w:hint="default" w:ascii="Times New Roman Regular" w:hAnsi="Times New Roman Regular" w:eastAsia="仿宋" w:cs="Times New Roman Regular"/>
          <w:kern w:val="2"/>
          <w:sz w:val="32"/>
          <w:szCs w:val="32"/>
        </w:rPr>
      </w:pPr>
      <w:r>
        <w:rPr>
          <w:rFonts w:hint="eastAsia" w:ascii="仿宋" w:hAnsi="仿宋" w:eastAsia="仿宋" w:cs="仿宋"/>
          <w:color w:val="000000"/>
          <w:sz w:val="32"/>
          <w:szCs w:val="32"/>
          <w:lang w:val="en-US" w:eastAsia="zh-CN"/>
        </w:rPr>
        <w:t>无</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p>
  </w:endnote>
  <w:endnote w:type="continuationSeparator" w:id="1">
    <w:p>
      <w:pPr>
        <w:spacing w:line="240" w:lineRule="auto"/>
        <w:ind w:firstLine="48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Times New Roman Regular">
    <w:altName w:val="Times New Roman"/>
    <w:panose1 w:val="02020503050405090304"/>
    <w:charset w:val="00"/>
    <w:family w:val="auto"/>
    <w:pitch w:val="default"/>
    <w:sig w:usb0="00000000" w:usb1="00000000" w:usb2="00000001" w:usb3="00000000" w:csb0="400001BF" w:csb1="DFF70000"/>
  </w:font>
  <w:font w:name="仿宋">
    <w:panose1 w:val="02010609060101010101"/>
    <w:charset w:val="86"/>
    <w:family w:val="modern"/>
    <w:pitch w:val="default"/>
    <w:sig w:usb0="800002BF" w:usb1="38CF7CFA" w:usb2="00000016" w:usb3="00000000" w:csb0="00040001" w:csb1="00000000"/>
  </w:font>
  <w:font w:name="方正小标宋简体">
    <w:altName w:val="Arial Unicode MS"/>
    <w:panose1 w:val="02010601030101010101"/>
    <w:charset w:val="86"/>
    <w:family w:val="roman"/>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E1F23A">
    <w:pPr>
      <w:pStyle w:val="4"/>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AD16B">
    <w:pPr>
      <w:pStyle w:val="4"/>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E777D">
    <w:pPr>
      <w:pStyle w:val="4"/>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p>
  </w:footnote>
  <w:footnote w:type="continuationSeparator" w:id="1">
    <w:p>
      <w:pPr>
        <w:spacing w:line="360" w:lineRule="auto"/>
        <w:ind w:firstLine="48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D8E9D">
    <w:pPr>
      <w:pStyle w:val="5"/>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EEE27">
    <w:pPr>
      <w:pStyle w:val="5"/>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A7C158">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FEF644"/>
    <w:multiLevelType w:val="singleLevel"/>
    <w:tmpl w:val="5FFEF644"/>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NTM1OWJlYTYzZjI1MmQ4ZDM2Njk0ODI3NzVhNzMifQ=="/>
  </w:docVars>
  <w:rsids>
    <w:rsidRoot w:val="2B6F4C9D"/>
    <w:rsid w:val="000A297C"/>
    <w:rsid w:val="004C2775"/>
    <w:rsid w:val="004D77F5"/>
    <w:rsid w:val="00756160"/>
    <w:rsid w:val="00852652"/>
    <w:rsid w:val="00867BA5"/>
    <w:rsid w:val="0096249A"/>
    <w:rsid w:val="00AF50B8"/>
    <w:rsid w:val="00B12946"/>
    <w:rsid w:val="00CA048F"/>
    <w:rsid w:val="00E024D2"/>
    <w:rsid w:val="00E54742"/>
    <w:rsid w:val="01614212"/>
    <w:rsid w:val="01964270"/>
    <w:rsid w:val="026752A9"/>
    <w:rsid w:val="03C2244D"/>
    <w:rsid w:val="046C43EC"/>
    <w:rsid w:val="04751E8B"/>
    <w:rsid w:val="049C7DEF"/>
    <w:rsid w:val="04A96372"/>
    <w:rsid w:val="04C2697B"/>
    <w:rsid w:val="05156224"/>
    <w:rsid w:val="0620235A"/>
    <w:rsid w:val="069550DB"/>
    <w:rsid w:val="06AB7BA4"/>
    <w:rsid w:val="074327A4"/>
    <w:rsid w:val="07CB6A82"/>
    <w:rsid w:val="084D2748"/>
    <w:rsid w:val="09DD9E46"/>
    <w:rsid w:val="0A821835"/>
    <w:rsid w:val="0B30242D"/>
    <w:rsid w:val="0BFB6AFD"/>
    <w:rsid w:val="0C062F64"/>
    <w:rsid w:val="0F0A7121"/>
    <w:rsid w:val="0F18115A"/>
    <w:rsid w:val="0F4B3357"/>
    <w:rsid w:val="0F6F185A"/>
    <w:rsid w:val="0FDC5FFD"/>
    <w:rsid w:val="10453C3E"/>
    <w:rsid w:val="110B4A33"/>
    <w:rsid w:val="136923D4"/>
    <w:rsid w:val="14FB646C"/>
    <w:rsid w:val="15BB6F18"/>
    <w:rsid w:val="16450AA0"/>
    <w:rsid w:val="1891657A"/>
    <w:rsid w:val="18ED55F2"/>
    <w:rsid w:val="197864DF"/>
    <w:rsid w:val="19A02C16"/>
    <w:rsid w:val="19EA2F53"/>
    <w:rsid w:val="19F618F8"/>
    <w:rsid w:val="1A674D68"/>
    <w:rsid w:val="1A821FE7"/>
    <w:rsid w:val="1AC32CC4"/>
    <w:rsid w:val="1B3FE2AE"/>
    <w:rsid w:val="1B9331E7"/>
    <w:rsid w:val="1DFFB871"/>
    <w:rsid w:val="1E674D08"/>
    <w:rsid w:val="1EAB64DA"/>
    <w:rsid w:val="1F5F7675"/>
    <w:rsid w:val="1F7800CC"/>
    <w:rsid w:val="1FA5100B"/>
    <w:rsid w:val="1FDF0578"/>
    <w:rsid w:val="1FEBBA93"/>
    <w:rsid w:val="20347893"/>
    <w:rsid w:val="20752E9C"/>
    <w:rsid w:val="20ED716B"/>
    <w:rsid w:val="21420662"/>
    <w:rsid w:val="2190427C"/>
    <w:rsid w:val="23EF6F51"/>
    <w:rsid w:val="258855E3"/>
    <w:rsid w:val="25EE7947"/>
    <w:rsid w:val="263403FC"/>
    <w:rsid w:val="26946721"/>
    <w:rsid w:val="273E5672"/>
    <w:rsid w:val="288E0795"/>
    <w:rsid w:val="28D21DE3"/>
    <w:rsid w:val="291D29FD"/>
    <w:rsid w:val="2A2D07E6"/>
    <w:rsid w:val="2B223F6D"/>
    <w:rsid w:val="2B6F4C9D"/>
    <w:rsid w:val="2C5E2E59"/>
    <w:rsid w:val="2DE23A3A"/>
    <w:rsid w:val="2E8E1287"/>
    <w:rsid w:val="300E3D77"/>
    <w:rsid w:val="30533016"/>
    <w:rsid w:val="30B80E03"/>
    <w:rsid w:val="321FC31B"/>
    <w:rsid w:val="33255290"/>
    <w:rsid w:val="33C70BDE"/>
    <w:rsid w:val="33D877D8"/>
    <w:rsid w:val="34683D01"/>
    <w:rsid w:val="34F42B08"/>
    <w:rsid w:val="35AE68A5"/>
    <w:rsid w:val="35D13538"/>
    <w:rsid w:val="364160A3"/>
    <w:rsid w:val="36CD16A7"/>
    <w:rsid w:val="37ED7A3F"/>
    <w:rsid w:val="37FD65C0"/>
    <w:rsid w:val="38E64707"/>
    <w:rsid w:val="397228F1"/>
    <w:rsid w:val="3A8859B9"/>
    <w:rsid w:val="3ABB2076"/>
    <w:rsid w:val="3B9F3746"/>
    <w:rsid w:val="3DE61665"/>
    <w:rsid w:val="3DFA8CF9"/>
    <w:rsid w:val="3E1153AE"/>
    <w:rsid w:val="3E516972"/>
    <w:rsid w:val="3E636B53"/>
    <w:rsid w:val="3E772758"/>
    <w:rsid w:val="3ED891F3"/>
    <w:rsid w:val="3EE47779"/>
    <w:rsid w:val="3F5AA636"/>
    <w:rsid w:val="3FDF7AD8"/>
    <w:rsid w:val="3FF3C74F"/>
    <w:rsid w:val="3FFF40B8"/>
    <w:rsid w:val="404969DC"/>
    <w:rsid w:val="40B53B29"/>
    <w:rsid w:val="41474C1E"/>
    <w:rsid w:val="41A437D2"/>
    <w:rsid w:val="425A03C6"/>
    <w:rsid w:val="43CB6518"/>
    <w:rsid w:val="43D60DED"/>
    <w:rsid w:val="44FE14DD"/>
    <w:rsid w:val="45613F95"/>
    <w:rsid w:val="47372A84"/>
    <w:rsid w:val="47FF2AAF"/>
    <w:rsid w:val="489777C4"/>
    <w:rsid w:val="49D54E93"/>
    <w:rsid w:val="49E56F9C"/>
    <w:rsid w:val="4A926FD7"/>
    <w:rsid w:val="4CDF7E46"/>
    <w:rsid w:val="4D1675E0"/>
    <w:rsid w:val="4D4375BB"/>
    <w:rsid w:val="4D7B72EF"/>
    <w:rsid w:val="4DA46A85"/>
    <w:rsid w:val="4DD15688"/>
    <w:rsid w:val="4F070E89"/>
    <w:rsid w:val="4F374648"/>
    <w:rsid w:val="4F4451D2"/>
    <w:rsid w:val="50F639B0"/>
    <w:rsid w:val="51237888"/>
    <w:rsid w:val="51BA42A7"/>
    <w:rsid w:val="520F6E89"/>
    <w:rsid w:val="53203621"/>
    <w:rsid w:val="54DA00D3"/>
    <w:rsid w:val="54FB28C2"/>
    <w:rsid w:val="554E0C20"/>
    <w:rsid w:val="568F07C7"/>
    <w:rsid w:val="57252998"/>
    <w:rsid w:val="59364BCE"/>
    <w:rsid w:val="594237DC"/>
    <w:rsid w:val="59545D2F"/>
    <w:rsid w:val="59B56326"/>
    <w:rsid w:val="5A0C4685"/>
    <w:rsid w:val="5A172DBD"/>
    <w:rsid w:val="5A553285"/>
    <w:rsid w:val="5AB43B01"/>
    <w:rsid w:val="5AFF9D65"/>
    <w:rsid w:val="5B3BC4C0"/>
    <w:rsid w:val="5B701D17"/>
    <w:rsid w:val="5BBBA5AA"/>
    <w:rsid w:val="5CAC4743"/>
    <w:rsid w:val="5D55237F"/>
    <w:rsid w:val="5E051DBB"/>
    <w:rsid w:val="5F0233E9"/>
    <w:rsid w:val="5F12091C"/>
    <w:rsid w:val="5FB20796"/>
    <w:rsid w:val="5FBDFEA1"/>
    <w:rsid w:val="5FC44E2D"/>
    <w:rsid w:val="5FD626AD"/>
    <w:rsid w:val="604010EC"/>
    <w:rsid w:val="610E05D3"/>
    <w:rsid w:val="61D228D0"/>
    <w:rsid w:val="62215294"/>
    <w:rsid w:val="64C3025B"/>
    <w:rsid w:val="65FC618C"/>
    <w:rsid w:val="660310CC"/>
    <w:rsid w:val="66161B6A"/>
    <w:rsid w:val="6619AA7A"/>
    <w:rsid w:val="66984919"/>
    <w:rsid w:val="66F07E69"/>
    <w:rsid w:val="671B478E"/>
    <w:rsid w:val="676F702D"/>
    <w:rsid w:val="67E97973"/>
    <w:rsid w:val="67F15804"/>
    <w:rsid w:val="68AD274F"/>
    <w:rsid w:val="69053EBC"/>
    <w:rsid w:val="6A582252"/>
    <w:rsid w:val="6AD82D16"/>
    <w:rsid w:val="6B464D38"/>
    <w:rsid w:val="6BDF3DCF"/>
    <w:rsid w:val="6C5075F1"/>
    <w:rsid w:val="6C6341E0"/>
    <w:rsid w:val="6C670BB6"/>
    <w:rsid w:val="6DA06D26"/>
    <w:rsid w:val="6DD40FF8"/>
    <w:rsid w:val="6DF74D7F"/>
    <w:rsid w:val="6E881C94"/>
    <w:rsid w:val="6EEA7AC9"/>
    <w:rsid w:val="6F113064"/>
    <w:rsid w:val="6F9C345D"/>
    <w:rsid w:val="6FF3A6EA"/>
    <w:rsid w:val="71565F3F"/>
    <w:rsid w:val="71E73175"/>
    <w:rsid w:val="72502DE7"/>
    <w:rsid w:val="74114A65"/>
    <w:rsid w:val="74DC7A51"/>
    <w:rsid w:val="753554DD"/>
    <w:rsid w:val="7543025C"/>
    <w:rsid w:val="75A24B0F"/>
    <w:rsid w:val="75FE29AA"/>
    <w:rsid w:val="76AB03E2"/>
    <w:rsid w:val="76D1210E"/>
    <w:rsid w:val="777D98DD"/>
    <w:rsid w:val="77AC22DD"/>
    <w:rsid w:val="77AD2A4F"/>
    <w:rsid w:val="77B83789"/>
    <w:rsid w:val="77EF6082"/>
    <w:rsid w:val="78691D8F"/>
    <w:rsid w:val="78F52A46"/>
    <w:rsid w:val="793C6850"/>
    <w:rsid w:val="79A33631"/>
    <w:rsid w:val="79BA25E2"/>
    <w:rsid w:val="7ABC43C8"/>
    <w:rsid w:val="7AF59BDD"/>
    <w:rsid w:val="7B7C6624"/>
    <w:rsid w:val="7B7FD117"/>
    <w:rsid w:val="7CA67A3C"/>
    <w:rsid w:val="7CC26D90"/>
    <w:rsid w:val="7DAE3E8B"/>
    <w:rsid w:val="7DE786B3"/>
    <w:rsid w:val="7DF7F10C"/>
    <w:rsid w:val="7DFF72DA"/>
    <w:rsid w:val="7E77AE1E"/>
    <w:rsid w:val="7EED7036"/>
    <w:rsid w:val="7F182BC0"/>
    <w:rsid w:val="7F7E3BB2"/>
    <w:rsid w:val="7FB6350A"/>
    <w:rsid w:val="7FB6D223"/>
    <w:rsid w:val="7FEF24EC"/>
    <w:rsid w:val="7FF61374"/>
    <w:rsid w:val="7FFF2717"/>
    <w:rsid w:val="7FFF5EBE"/>
    <w:rsid w:val="7FFFE763"/>
    <w:rsid w:val="8FFE8FEB"/>
    <w:rsid w:val="979E92A1"/>
    <w:rsid w:val="A8DF0C74"/>
    <w:rsid w:val="ABA76812"/>
    <w:rsid w:val="B7D1A9D0"/>
    <w:rsid w:val="B7F94DE7"/>
    <w:rsid w:val="B7FF45A2"/>
    <w:rsid w:val="BB7B58C8"/>
    <w:rsid w:val="BEDE3919"/>
    <w:rsid w:val="BEFD9100"/>
    <w:rsid w:val="BF9AF82A"/>
    <w:rsid w:val="BFFF8D4D"/>
    <w:rsid w:val="C6BE4012"/>
    <w:rsid w:val="C7FD1EA7"/>
    <w:rsid w:val="CDD8E21F"/>
    <w:rsid w:val="CE5BA650"/>
    <w:rsid w:val="D2FB139D"/>
    <w:rsid w:val="D77B0E09"/>
    <w:rsid w:val="DB8DE95B"/>
    <w:rsid w:val="DB9B6787"/>
    <w:rsid w:val="DD95C9AE"/>
    <w:rsid w:val="DDEB5770"/>
    <w:rsid w:val="DDEFCCD4"/>
    <w:rsid w:val="DDFF60F6"/>
    <w:rsid w:val="DF3F3FFB"/>
    <w:rsid w:val="DF6DEA49"/>
    <w:rsid w:val="DFDB47F0"/>
    <w:rsid w:val="DFF6FB70"/>
    <w:rsid w:val="E3E6D3A3"/>
    <w:rsid w:val="E5FF00B6"/>
    <w:rsid w:val="EECBEAED"/>
    <w:rsid w:val="EEFD4FEB"/>
    <w:rsid w:val="EF5ADFB9"/>
    <w:rsid w:val="EF7BB52C"/>
    <w:rsid w:val="EFB6A658"/>
    <w:rsid w:val="F4FDCC48"/>
    <w:rsid w:val="F77DAE76"/>
    <w:rsid w:val="F7FBE88E"/>
    <w:rsid w:val="F8898F95"/>
    <w:rsid w:val="FAB8406D"/>
    <w:rsid w:val="FBDD58B4"/>
    <w:rsid w:val="FBFF0A5B"/>
    <w:rsid w:val="FD6F2560"/>
    <w:rsid w:val="FDAEFF09"/>
    <w:rsid w:val="FDD7B4F3"/>
    <w:rsid w:val="FE2E69B1"/>
    <w:rsid w:val="FE6C0608"/>
    <w:rsid w:val="FE72F574"/>
    <w:rsid w:val="FEED136A"/>
    <w:rsid w:val="FF4F4918"/>
    <w:rsid w:val="FFA8FF05"/>
    <w:rsid w:val="FFB3C8D6"/>
    <w:rsid w:val="FFDD29A0"/>
    <w:rsid w:val="FFE72D86"/>
    <w:rsid w:val="FFF34EB3"/>
    <w:rsid w:val="FFFD51E4"/>
    <w:rsid w:val="FFFF75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80" w:firstLineChars="200"/>
      <w:jc w:val="both"/>
    </w:pPr>
    <w:rPr>
      <w:rFonts w:ascii="宋体" w:hAnsi="宋体" w:eastAsia="宋体" w:cs="Times New Roman"/>
      <w:kern w:val="2"/>
      <w:sz w:val="24"/>
      <w:szCs w:val="22"/>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link w:val="10"/>
    <w:qFormat/>
    <w:uiPriority w:val="0"/>
    <w:pPr>
      <w:tabs>
        <w:tab w:val="center" w:pos="4153"/>
        <w:tab w:val="right" w:pos="8306"/>
      </w:tabs>
      <w:snapToGrid w:val="0"/>
      <w:spacing w:line="240" w:lineRule="auto"/>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9">
    <w:name w:val="页眉 字符"/>
    <w:basedOn w:val="8"/>
    <w:link w:val="5"/>
    <w:qFormat/>
    <w:uiPriority w:val="0"/>
    <w:rPr>
      <w:rFonts w:ascii="宋体" w:hAnsi="宋体"/>
      <w:kern w:val="2"/>
      <w:sz w:val="18"/>
      <w:szCs w:val="18"/>
    </w:rPr>
  </w:style>
  <w:style w:type="character" w:customStyle="1" w:styleId="10">
    <w:name w:val="页脚 字符"/>
    <w:basedOn w:val="8"/>
    <w:link w:val="4"/>
    <w:qFormat/>
    <w:uiPriority w:val="0"/>
    <w:rPr>
      <w:rFonts w:ascii="宋体" w:hAnsi="宋体"/>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459</Words>
  <Characters>1415</Characters>
  <Lines>16</Lines>
  <Paragraphs>4</Paragraphs>
  <TotalTime>9</TotalTime>
  <ScaleCrop>false</ScaleCrop>
  <LinksUpToDate>false</LinksUpToDate>
  <CharactersWithSpaces>1428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2021-01-21T23:13:00Z</dcterms:created>
  <dc:creator>Administrator</dc:creator>
  <cp:lastModifiedBy>Administrator</cp:lastModifiedBy>
  <dcterms:modified xsi:type="dcterms:W3CDTF">2026-08-09T10:41:51Z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1E783D06E0A64A039549809408296BD7_13</vt:lpwstr>
  </property>
</Properties>
</file>